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Anmeldestelle hat zu prüfen, ob die Voraussetzungen des § 1 oder § 5 oder § 6 in der Person desjenigen, für den die Anmeldung vorgenommen wird (Anmelder), gegeben sind.</w:t>
      </w:r>
    </w:p>
    <w:p>
      <w:r>
        <w:t xml:space="preserve">(2) Die Anmeldestelle hat das Ergebnis der Prüfung auf der Anmeldung unter Angabe der Gründe zu vermerken.</w:t>
      </w:r>
    </w:p>
    <w:p>
      <w:r>
        <w:t xml:space="preserve">(3) Ist die Anmeldestelle ein Neues Institut und hält sie den Nachweis gemäß Absatz 1 für erbracht, so hat sie die Anmeldung mit den Unterlagen an die Verwaltungsstelle des Alten Instituts weiterzuleiten. Andernfalls hat sie die Anmeldung nur auf Verlangen des Anmelders weiterzuleiten.</w:t>
      </w:r>
    </w:p>
    <w:p>
      <w:r>
        <w:rPr>
          <w:color w:val="555555"/>
          <w:sz w:val="17"/>
        </w:rPr>
        <w:t xml:space="preserve">Zitiervorschlag: § 15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