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UErgG 3</w:t>
      </w:r>
    </w:p>
    <w:p>
      <w:r>
        <w:rPr>
          <w:color w:val="555555"/>
          <w:sz w:val="18"/>
        </w:rPr>
        <w:t xml:space="preserve">Drittes Umstellungsergänzungsgesetz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Wo im Umstellungsergänzungsgesetz der für das Bankwesen zuständige Berliner Senator (Berliner Bankaufsichtsbehörde) oder die Berliner Bankaufsichtsbehörde genannt sind, tritt an ihre Stelle die zuständige oberste Landesbehörde des Landes Berlin.</w:t>
      </w:r>
    </w:p>
    <w:p>
      <w:r>
        <w:rPr>
          <w:color w:val="555555"/>
          <w:sz w:val="17"/>
        </w:rPr>
        <w:t xml:space="preserve">Zitiervorschlag: § 9 UErgG 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https://recht.nulegal.eu/gesetze/UErgG%203/9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