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Maßgabe des § 13 Abs. 1 des Dritten Überleitungsgesetzes vom 4. Januar 1952 (Bundesgesetzbl. I S. 1) auch im Land Berlin.</w:t>
      </w:r>
    </w:p>
    <w:p>
      <w:r>
        <w:t xml:space="preserve">(2) Soweit in § 5 Abs. 3 und § 8 Nr. 9 auf Vorschriften über die Neuordnung des Geldwesens Bezug genommen ist, treten in Berlin an deren Stelle die dort geltenden entsprechenden Vorschriften.</w:t>
      </w:r>
    </w:p>
    <w:p>
      <w:r>
        <w:t xml:space="preserve">(3) Soweit dieses Gesetz auf Vorschriften des D-Markbilanzgesetzes oder des D-Markbilanzergänzungsgesetzes Bezug nimmt, treten an deren Stelle die entsprechenden Vorschriften des Gesetzes des Landes Berlin über die Eröffnungsbilanz in Deutscher Mark und die Kapitalneufestsetzung (D-Markbilanzgesetz) vom 12. August 1950 (Verordnungsblatt für Groß-Berlin I S. 329) und des Gesetzes des Landes Berlin zur Änderung und Ergänzung des D-Markbilanzgesetzes (D-Markbilanzergänzungsgesetz) vom 24. Mai 1951 (Gesetz- und Verordnungsblatt für Berlin S. 382).</w:t>
      </w:r>
    </w:p>
    <w:p>
      <w:r>
        <w:rPr>
          <w:color w:val="555555"/>
          <w:sz w:val="17"/>
        </w:rPr>
        <w:t xml:space="preserve">Zitiervorschlag: § 20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