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UErgG 3</w:t>
      </w:r>
    </w:p>
    <w:p>
      <w:r>
        <w:rPr>
          <w:color w:val="555555"/>
          <w:sz w:val="18"/>
        </w:rPr>
        <w:t xml:space="preserve">Drittes Umstellungsergänzungsgesetz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dieses Gesetz auf das D-Markbilanzgesetz Bezug nimmt, ist darunter je nach dem Geltungsbereich das Gesetz über die Eröffnungsbilanz in Deutscher Mark und die Kapitalneufestsetzung (D-Markbilanzgesetz) vom 21. August 1949 (WiGBl. S. 279), auf Baden, Württemberg-Hohenzollern und den bayerischen Kreis Lindau erstreckt durch Verordnung vom 13. Dezember 1949 (Bundesgesetzbl. 1950 S. 2), oder das Landesgesetz des Landes Rheinland-Pfalz über die Eröffnungsbilanz in Deutscher Mark und die Kapitalneufestsetzung (D-Markbilanzgesetz) vom 6. September 1949 (Gesetz- und Verordnungsblatt der Landesregierung Rheinland-Pfalz I S. 421) zu verstehen.</w:t>
      </w:r>
    </w:p>
    <w:p>
      <w:r>
        <w:rPr>
          <w:color w:val="555555"/>
          <w:sz w:val="17"/>
        </w:rPr>
        <w:t xml:space="preserve">Zitiervorschlag: § 19 UErgG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https://recht.nulegal.eu/gesetze/UErgG%203/19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