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UErgG 2</w:t>
      </w:r>
    </w:p>
    <w:p>
      <w:r>
        <w:rPr>
          <w:color w:val="555555"/>
          <w:sz w:val="18"/>
        </w:rPr>
        <w:t xml:space="preserve">Zweites Umstellungsergänzungsgesetz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mit dem ersten Tage des auf die Verkündung folgenden Monats in Kraft.</w:t>
      </w:r>
    </w:p>
    <w:p>
      <w:r>
        <w:rPr>
          <w:color w:val="555555"/>
          <w:sz w:val="17"/>
        </w:rPr>
        <w:t xml:space="preserve">Zitiervorschlag: § 28 UErgG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https://recht.nulegal.eu/gesetze/UErgG%202/28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