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UErgG 2</w:t>
      </w:r>
    </w:p>
    <w:p>
      <w:r>
        <w:rPr>
          <w:color w:val="555555"/>
          <w:sz w:val="18"/>
        </w:rPr>
        <w:t xml:space="preserve">Zweites Umstellungsergänzungsgesetz</w:t>
      </w:r>
    </w:p>
    <w:p>
      <w:r>
        <w:rPr>
          <w:color w:val="555555"/>
          <w:sz w:val="18"/>
        </w:rPr>
        <w:t xml:space="preserve">Stand: 10.06.2019 (konsolidierte Textfassung, kein amtliches Inkrafttretensdatum)</w:t>
      </w:r>
    </w:p>
    <w:p>
      <w:r>
        <w:t xml:space="preserve">Die Bundesregierung wird ermächtigt, durch Rechtsverordnung mit Zustimmung des Bundesrates Vorschriften über das bei der Anmeldung von Ostberliner Altgeldguthaben und bei der Anerkennung der Umwandlungsfähigkeit dieser Guthaben zu beachtende Verfahren zu erlassen.</w:t>
      </w:r>
    </w:p>
    <w:p>
      <w:r>
        <w:rPr>
          <w:color w:val="555555"/>
          <w:sz w:val="17"/>
        </w:rPr>
        <w:t xml:space="preserve">Zitiervorschlag: § 25 UErgG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https://recht.nulegal.eu/gesetze/UErgG%202/25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