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UERV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verordnen auf Grund</w:t>
      </w:r>
    </w:p>
    <w:p>
      <w:pPr>
        <w:ind w:left="420"/>
      </w:pPr>
      <w:r>
        <w:t xml:space="preserve">– des § 37d Absatz 1 und 2 Satz 1 Nummer 13 und Satz 2 und Absatz 3 des Bundes-Immissionsschutzgesetzes, von denen Absatz 1 zuletzt durch Artikel 3 Nummer 2 des Gesetzes vom 26. Juli 2016 (BGBl. I S. 1839), Absatz 2 Satz 1 Nummer 13 durch Artikel 3 Nummer 2 des Gesetzes vom 18. Juli 2017 (BGBl. I S. 2771) und Absatz 3 durch Artikel 1 Nummer 7 des Gesetzes vom 20. November 2014 (BGBl. I S. 1740) geändert worden sind, die Bundesregierung nach Anhörung der beteiligten Kreise sowie</w:t>
      </w:r>
    </w:p>
    <w:p>
      <w:pPr>
        <w:ind w:left="420"/>
      </w:pPr>
      <w:r>
        <w:t xml:space="preserve">– des § 37e Absatz 3 in Verbindung mit Absatz 1 Nummer 2 des Bundes-Immissionsschutzgesetzes, der durch Artikel 3 Nummer 3 des Gesetzes vom 26. Juli 2016 (BGBl. I S. 1839) neu gefasst worden ist, das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