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UERV — Datenübermittlung</w:t>
      </w:r>
    </w:p>
    <w:p>
      <w:r>
        <w:rPr>
          <w:color w:val="555555"/>
          <w:sz w:val="18"/>
        </w:rPr>
        <w:t xml:space="preserve">Upstream-Emissionsminderungs-Verordnung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Soweit es zur Durchführung dieser Verordnung oder zur Erfüllung von Berichtspflichten der Bundesregierung erforderlich ist, dürfen das Umweltbundesamt und die Biokraftstoffquotenstelle UER-Nachweise, Berichte über die durchgeführten Kontrollen sowie Informationen über die Höhe der zur Erfüllung der Verpflichtung zur Treibhausgasminderung angerechneten Upstream-Emissionsminderungen übermitteln, und zwar an</w:t>
      </w:r>
    </w:p>
    <w:p>
      <w:pPr>
        <w:ind w:left="420"/>
      </w:pPr>
      <w:r>
        <w:t xml:space="preserve">1. folgende Bundesbehörden:</w:t>
      </w:r>
    </w:p>
    <w:p>
      <w:pPr>
        <w:ind w:left="780"/>
      </w:pPr>
      <w:r>
        <w:t xml:space="preserve">a) das Bundesministerium für Umwelt, Naturschutz und nukleare Sicherheit,</w:t>
      </w:r>
    </w:p>
    <w:p>
      <w:pPr>
        <w:ind w:left="780"/>
      </w:pPr>
      <w:r>
        <w:t xml:space="preserve">b) das Bundesministerium der Finanzen und die ihm nachgeordneten Behörden,</w:t>
      </w:r>
    </w:p>
    <w:p>
      <w:pPr>
        <w:ind w:left="780"/>
      </w:pPr>
      <w:r>
        <w:t xml:space="preserve">c) die Biokraftstoffquotenstelle,</w:t>
      </w:r>
    </w:p>
    <w:p>
      <w:pPr>
        <w:ind w:left="780"/>
      </w:pPr>
      <w:r>
        <w:t xml:space="preserve">d) das Umweltbundesamt,</w:t>
      </w:r>
    </w:p>
    <w:p>
      <w:pPr>
        <w:ind w:left="420"/>
      </w:pPr>
      <w:r>
        <w:t xml:space="preserve">2. Behörden von anderen Mitgliedstaaten der Europäischen Union sowie von Drittstaaten und die von ihnen jeweils mit der Nachweisführung beauftragten Stellen,</w:t>
      </w:r>
    </w:p>
    <w:p>
      <w:pPr>
        <w:ind w:left="420"/>
      </w:pPr>
      <w:r>
        <w:t xml:space="preserve">3. Organe der Europäischen Union und</w:t>
      </w:r>
    </w:p>
    <w:p>
      <w:pPr>
        <w:ind w:left="420"/>
      </w:pPr>
      <w:r>
        <w:t xml:space="preserve">4. die in den nicht-legislativen Leitlinien[3] der Europäischen Kommission genannte zentrale Datenbank.</w:t>
      </w:r>
    </w:p>
    <w:p>
      <w:r>
        <w:t xml:space="preserve">(2) Die Übermittlung von Daten nach Absatz 1 Nummer 2 und 3 erfolgt in Abstimmung mit dem Bundesministerium für Umwelt, Naturschutz und nukleare Sicherheit.</w:t>
      </w:r>
    </w:p>
    <w:p>
      <w:r>
        <w:t xml:space="preserve">3 Die nicht-legislativen Leitlinien können unter dem folgenden Link abgerufen werden: https://ec.europa.eu/clima/sites/clima/files/guidance_note_on_uer_en.pdf</w:t>
      </w:r>
    </w:p>
    <w:p>
      <w:r>
        <w:rPr>
          <w:color w:val="555555"/>
          <w:sz w:val="17"/>
        </w:rPr>
        <w:t xml:space="preserve">Zitiervorschlag: § 50 UERV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https://recht.nulegal.eu/gesetze/UERV/50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