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UERV — Nachweis durch den Verpflichteten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Anrechnung von Upstream-Emissionsminderungen zur Erfüllung der gesetzlichen Verpflichtung zur Minderung der Treibhausgasemissionen muss der Verpflichtete</w:t>
      </w:r>
    </w:p>
    <w:p>
      <w:pPr>
        <w:ind w:left="420"/>
      </w:pPr>
      <w:r>
        <w:t xml:space="preserve">1. der Biokraftstoffquotenstelle im Rahmen der Mitteilung nach § 37c des Bundes-Immissionsschutzgesetzes UER-Nachweise für die im Verpflichtungsjahr erreichten Upstream-Emissionsminderungen vorlegen und</w:t>
      </w:r>
    </w:p>
    <w:p>
      <w:pPr>
        <w:ind w:left="420"/>
      </w:pPr>
      <w:r>
        <w:t xml:space="preserve">2. diese UER-Nachweise bis zum 15. April des auf das Verpflichtungsjahr folgenden Kalenderjahres auf das Entwertungskonto des UER-Registers übertragen.</w:t>
      </w:r>
    </w:p>
    <w:p>
      <w:r>
        <w:rPr>
          <w:color w:val="555555"/>
          <w:sz w:val="17"/>
        </w:rPr>
        <w:t xml:space="preserve">Zitiervorschlag: § 4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