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UERV — Spezifische Aufgaben der Validierungsstellen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Validierungsstelle prüft, ob die Projekttätigkeit eines Projektträgers die Voraussetzungen für die Zustimmung erfüllt, (Validierung) und erstellt den Validierungsbericht.</w:t>
      </w:r>
    </w:p>
    <w:p>
      <w:r>
        <w:t xml:space="preserve">(2) Die Validierung erfolgt anhand der Projektdokumentation und weiterer Unterlagen sowie vor Ort. Upstream-Emissionsminderungen werden nach den Grundsätzen und Normen der mit DIN EN ISO 14064-2, Ausgabe Mai 2020, DIN EN ISO 14065, Ausgabe Juli 2013, und ISO 14066, Ausgabe April 2011, validiert.</w:t>
      </w:r>
    </w:p>
    <w:p>
      <w:r>
        <w:rPr>
          <w:color w:val="555555"/>
          <w:sz w:val="17"/>
        </w:rPr>
        <w:t xml:space="preserve">Zitiervorschlag: § 38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