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UERV — Widerruf und Rücknahme der Registrierung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Umweltbundesamt kann die Registrierung einer Validierungs- oder Verifizierungsstelle widerrufen, wenn Tatsachen die Annahme rechtfertigen, dass eine ordnungsgemäße Durchführung der Aufgaben nicht mehr gegeben ist.</w:t>
      </w:r>
    </w:p>
    <w:p>
      <w:r>
        <w:t xml:space="preserve">(2) Die Registrierung soll insbesondere widerrufen werden, wenn die Validierungs- oder Verifizierungsstelle ihre Pflichten nicht, nicht richtig, nicht vollständig oder nicht rechtzeitig erfüllt. Die Registrierung kann auch widerrufen werden, wenn eine Kontrolle der Projekttätigkeiten vor Ort nicht sichergestellt ist.</w:t>
      </w:r>
    </w:p>
    <w:p>
      <w:r>
        <w:t xml:space="preserve">(3) Die Vorschriften des Verwaltungsverfahrensgesetzes über die Rücknahme und den Widerruf von Verwaltungsakten bleiben unberührt.</w:t>
      </w:r>
    </w:p>
    <w:p>
      <w:r>
        <w:rPr>
          <w:color w:val="555555"/>
          <w:sz w:val="17"/>
        </w:rPr>
        <w:t xml:space="preserve">Zitiervorschlag: § 36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