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UERV — Ausbuchungskonto</w:t>
      </w:r>
    </w:p>
    <w:p>
      <w:r>
        <w:rPr>
          <w:color w:val="555555"/>
          <w:sz w:val="18"/>
        </w:rPr>
        <w:t xml:space="preserve">Upstream-Emissionsminderungs-Verordnung</w:t>
      </w:r>
    </w:p>
    <w:p>
      <w:r>
        <w:rPr>
          <w:color w:val="555555"/>
          <w:sz w:val="18"/>
        </w:rPr>
        <w:t xml:space="preserve">Stand: 08.06.2024 (konsolidierte Textfassung, kein amtliches Inkrafttretensdatum)</w:t>
      </w:r>
    </w:p>
    <w:p>
      <w:r>
        <w:t xml:space="preserve">Im UER-Register erstellte Ausbuchungskonten anderer Mitgliedsstaaten der Europäischen Union werden zum Ablauf des 31. Oktobers 2024 geschlossen.</w:t>
      </w:r>
    </w:p>
    <w:p>
      <w:r>
        <w:rPr>
          <w:color w:val="555555"/>
          <w:sz w:val="17"/>
        </w:rPr>
        <w:t xml:space="preserve">Zitiervorschlag: § 29 UERV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