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UERV — Entwertungskonto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Umweltbundesamt richtet im UER-Register ein Entwertungskonto ein. Kontoinhaber übertragen alle zur Anrechnung vorgesehenen UER-Nachweise auf das Entwertungskonto. Die UER-Nachweise werden dauerhaft auf dem Entwertungskonto gespeichert.</w:t>
      </w:r>
    </w:p>
    <w:p>
      <w:r>
        <w:t xml:space="preserve">(2) Die Biokraftstoffquotenstelle erhält Zugriff auf das Entwertungskonto zur Prüfung der UER-Nachweise, die ihr zur Anrechnung vorgelegt werden.</w:t>
      </w:r>
    </w:p>
    <w:p>
      <w:r>
        <w:rPr>
          <w:color w:val="555555"/>
          <w:sz w:val="17"/>
        </w:rPr>
        <w:t xml:space="preserve">Zitiervorschlag: § 28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