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UERV — Freigabe der Sicherheitsleistung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Sicherheitsleistung wird vom Umweltbundesamt nach Abschluss der Kontrolle nach § 44 Absatz 2 freigegeben. Bei einer festgestellten Unrichtigkeit wird die Sicherheitsleistung nach der Löschung der UER-Nachweise freigegeben.</w:t>
      </w:r>
    </w:p>
    <w:p>
      <w:r>
        <w:t xml:space="preserve">(2) Sicherheitsleistungen, die nicht nach Absatz 1 freigegeben werden können, werden durch das Umweltbundesamt zugunsten der Staatskasse vereinnahmt.</w:t>
      </w:r>
    </w:p>
    <w:p>
      <w:r>
        <w:rPr>
          <w:color w:val="555555"/>
          <w:sz w:val="17"/>
        </w:rPr>
        <w:t xml:space="preserve">Zitiervorschlag: § 25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