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UERV — Übertragung von UER-Nachweisen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08.06.2024 (konsolidierte Textfassung, kein amtliches Inkrafttretensdatum)</w:t>
      </w:r>
    </w:p>
    <w:p>
      <w:r>
        <w:t xml:space="preserve">(1) UER-Nachweise können im UER-Register auf andere Kontoinhaber übertragen werden. Die Übertragung muss von einer kontobevollmächtigten Person veranlasst werden. Der Kontoinhaber kann bestimmen, dass die Übertragung eines UER-Nachweises von einer weiteren kontobevollmächtigten Person bestätigt werden muss.</w:t>
      </w:r>
    </w:p>
    <w:p>
      <w:r>
        <w:t xml:space="preserve">(2) Die Übertragung erfolgt spätestens zum nächsten Werktag nach der Veranlassung. Sie kann durch einen Kontobevollmächtigten abgebrochen werden, solange sie noch nicht abgeschlossen ist.</w:t>
      </w:r>
    </w:p>
    <w:p>
      <w:r>
        <w:rPr>
          <w:color w:val="555555"/>
          <w:sz w:val="17"/>
        </w:rPr>
        <w:t xml:space="preserve">Zitiervorschlag: § 23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