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UERV — Inhalt von UER-Nachweisen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Ein UER-Nachweis muss folgende Angaben enthalten:</w:t>
      </w:r>
    </w:p>
    <w:p>
      <w:pPr>
        <w:ind w:left="420"/>
      </w:pPr>
      <w:r>
        <w:t xml:space="preserve">1. eine eindeutige Nachweisnummer,</w:t>
      </w:r>
    </w:p>
    <w:p>
      <w:pPr>
        <w:ind w:left="420"/>
      </w:pPr>
      <w:r>
        <w:t xml:space="preserve">2. die Projektnummer,</w:t>
      </w:r>
    </w:p>
    <w:p>
      <w:pPr>
        <w:ind w:left="420"/>
      </w:pPr>
      <w:r>
        <w:t xml:space="preserve">3. den Namen und die Anschrift des ausstellenden Projektträgers und des aktuellen Inhabers des UER-Nachweises,</w:t>
      </w:r>
    </w:p>
    <w:p>
      <w:pPr>
        <w:ind w:left="420"/>
      </w:pPr>
      <w:r>
        <w:t xml:space="preserve">4. das Datum der Ausstellung,</w:t>
      </w:r>
    </w:p>
    <w:p>
      <w:pPr>
        <w:ind w:left="420"/>
      </w:pPr>
      <w:r>
        <w:t xml:space="preserve">5. das Datum, an dem die ersten Upstream-Emissionsminderungen durch die Projekttätigkeit erreicht worden sind,</w:t>
      </w:r>
    </w:p>
    <w:p>
      <w:pPr>
        <w:ind w:left="420"/>
      </w:pPr>
      <w:r>
        <w:t xml:space="preserve">6. die Höhe der Upstream-Emissionsminderungen in Kilogramm Kohlenstoffdioxid-Äquivalent,</w:t>
      </w:r>
    </w:p>
    <w:p>
      <w:pPr>
        <w:ind w:left="420"/>
      </w:pPr>
      <w:r>
        <w:t xml:space="preserve">7. das Verpflichtungsjahr, in dem die Upstream-Emissionsminderungen anrechenbar sind,</w:t>
      </w:r>
    </w:p>
    <w:p>
      <w:pPr>
        <w:ind w:left="420"/>
      </w:pPr>
      <w:r>
        <w:t xml:space="preserve">8. den Zeitraum, in dem die Upstream-Emissionsminderungen erbracht wurden,</w:t>
      </w:r>
    </w:p>
    <w:p>
      <w:pPr>
        <w:ind w:left="420"/>
      </w:pPr>
      <w:r>
        <w:t xml:space="preserve">9. eine Erklärung des Projektträgers, dass die Upstream-Emissionsminderungen durch die Projekttätigkeit unbeschadet des § 29 Absatz 2 nicht als Upstream-Emissionsminderungen in einem anderen Mitgliedstaat der Europäischen Union geltend gemacht wurden,</w:t>
      </w:r>
    </w:p>
    <w:p>
      <w:pPr>
        <w:ind w:left="420"/>
      </w:pPr>
      <w:r>
        <w:t xml:space="preserve">10. das Datum des Projektstarts,</w:t>
      </w:r>
    </w:p>
    <w:p>
      <w:pPr>
        <w:ind w:left="420"/>
      </w:pPr>
      <w:r>
        <w:t xml:space="preserve">11. die jährlichen Upstream-Emissionsminderungen in Kilogramm Kohlenstoffdioxid-Äquivalent,</w:t>
      </w:r>
    </w:p>
    <w:p>
      <w:pPr>
        <w:ind w:left="420"/>
      </w:pPr>
      <w:r>
        <w:t xml:space="preserve">12. den Projektort, der der Emissionsquelle am nächsten gelegen ist, unter Angabe der Koordinaten in Längen- und Breitengraden bis zur vierten Dezimalstelle,</w:t>
      </w:r>
    </w:p>
    <w:p>
      <w:pPr>
        <w:ind w:left="420"/>
      </w:pPr>
      <w:r>
        <w:t xml:space="preserve">13. die jährlichen Referenzfallemissionen bezogen auf den Brennwert des produzierten Rohstoffs in Kilogramm Kohlenstoffdioxid-Äquivalent pro Gigajoule,</w:t>
      </w:r>
    </w:p>
    <w:p>
      <w:pPr>
        <w:ind w:left="420"/>
      </w:pPr>
      <w:r>
        <w:t xml:space="preserve">14. die jährlichen Emissionen nach der Umsetzung der Projekttätigkeit bezogen auf den Brennwert des produzierten Rohstoffs Kilogramm Kohlenstoffdioxid-Äquivalent pro Gigajoule und</w:t>
      </w:r>
    </w:p>
    <w:p>
      <w:pPr>
        <w:ind w:left="420"/>
      </w:pPr>
      <w:r>
        <w:t xml:space="preserve">15. die nicht wiederverwendbare Nummer, mit der das Berechnungsverfahren und das entsprechende System eindeutig identifiziert werden.</w:t>
      </w:r>
    </w:p>
    <w:p>
      <w:r>
        <w:rPr>
          <w:color w:val="555555"/>
          <w:sz w:val="17"/>
        </w:rPr>
        <w:t xml:space="preserve">Zitiervorschlag: § 20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