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UERV — Ausstellung von UER-Nachweisen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08.06.2024 (konsolidierte Textfassung, kein amtliches Inkrafttretensdatum)</w:t>
      </w:r>
    </w:p>
    <w:p>
      <w:r>
        <w:t xml:space="preserve">(1) UER-Nachweise werden im UER-Register des Umweltbundesamtes ausgestellt.</w:t>
      </w:r>
    </w:p>
    <w:p>
      <w:r>
        <w:t xml:space="preserve">(2) Der Projektträger kann für eine Projekttätigkeit zur Minderung von Upstream-Emissionen UER-Nachweise bis zu der im Verifizierungsbericht angegebenen Höhe ausstellen, wenn</w:t>
      </w:r>
    </w:p>
    <w:p>
      <w:pPr>
        <w:ind w:left="420"/>
      </w:pPr>
      <w:r>
        <w:t xml:space="preserve">1. für die Projekttätigkeit eine Zustimmung erteilt worden ist,</w:t>
      </w:r>
    </w:p>
    <w:p>
      <w:pPr>
        <w:ind w:left="420"/>
      </w:pPr>
      <w:r>
        <w:t xml:space="preserve">2. der Verifizierungszeitraum innerhalb des Anrechnungszeitraums der Projekttätigkeit liegt,</w:t>
      </w:r>
    </w:p>
    <w:p>
      <w:pPr>
        <w:ind w:left="420"/>
      </w:pPr>
      <w:r>
        <w:t xml:space="preserve">3. die vom Projektträger beauftragte Verifizierungsstelle zum Zeitpunkt der Verifizierung registriert war,</w:t>
      </w:r>
    </w:p>
    <w:p>
      <w:pPr>
        <w:ind w:left="420"/>
      </w:pPr>
      <w:r>
        <w:t xml:space="preserve">4. der Verifizierungsbericht dem Umweltbundesamt vorgelegt wurde und den Anforderungen des § 41 entspricht,</w:t>
      </w:r>
    </w:p>
    <w:p>
      <w:pPr>
        <w:ind w:left="420"/>
      </w:pPr>
      <w:r>
        <w:t xml:space="preserve">5. die Verifizierungsstelle gegenüber dem Umweltbundesamt bestätigt hat, dass die verifizierten Upstream-Emissionsminderungen zusätzlich im Sinne der Anlage zu dieser Verordnung sind und keine Anhaltspunkte für eine nach der Anlage zu dieser Verordnung auszuschließende Doppelzählung vorliegen,</w:t>
      </w:r>
    </w:p>
    <w:p>
      <w:pPr>
        <w:ind w:left="420"/>
      </w:pPr>
      <w:r>
        <w:t xml:space="preserve">6. der Projektträger erklärt, dass mit der Projekttätigkeit nicht zugleich Strom erzeugt wurde, für den</w:t>
      </w:r>
    </w:p>
    <w:p>
      <w:pPr>
        <w:ind w:left="780"/>
      </w:pPr>
      <w:r>
        <w:t xml:space="preserve">a) Zahlungen nach § 19 Absatz 1 des Erneuerbare-Energien-Gesetzes oder</w:t>
      </w:r>
    </w:p>
    <w:p>
      <w:pPr>
        <w:ind w:left="780"/>
      </w:pPr>
      <w:r>
        <w:t xml:space="preserve">b) Zuschlagszahlungen nach den §§ 6 bis 13 sowie 35 des Kraft-Wärme-Kopplungsgesetzes,</w:t>
      </w:r>
    </w:p>
    <w:p>
      <w:pPr>
        <w:ind w:left="420"/>
      </w:pPr>
      <w:r>
        <w:t xml:space="preserve">in Anspruch genommen worden sind,</w:t>
      </w:r>
    </w:p>
    <w:p>
      <w:pPr>
        <w:ind w:left="420"/>
      </w:pPr>
      <w:r>
        <w:t xml:space="preserve">7. der Projektträger erklärt, dass Upstream-Emissionsminderungen, für die UER-Nachweise ausgestellt werden sollen, nicht unter anderen freiwilligen oder verpflichtenden Systemen veräußert oder genutzt wurden oder werden,</w:t>
      </w:r>
    </w:p>
    <w:p>
      <w:pPr>
        <w:ind w:left="420"/>
      </w:pPr>
      <w:r>
        <w:t xml:space="preserve">8. Upstream-Emissionsminderungen durch die Projekttätigkeit nicht bereits in einem anderen Mitgliedstaat zur Erfüllung von Verpflichtungen, die der Umsetzung von Artikel 7a der Richtlinie 98/70/EG dienen, angerechnet worden sind und</w:t>
      </w:r>
    </w:p>
    <w:p>
      <w:pPr>
        <w:ind w:left="420"/>
      </w:pPr>
      <w:r>
        <w:t xml:space="preserve">9. der Projektträger die festgelegte Sicherheitsleistung erbracht hat.</w:t>
      </w:r>
    </w:p>
    <w:p>
      <w:r>
        <w:t xml:space="preserve">(3) Das Umweltbundesamt stellt vorbehaltlich der Kontrollen nach § 44 Absatz 2 innerhalb von vier Wochen nach Eingang des Verifizierungsberichts, der Bestätigung nach Absatz 2 Nummer 5, der Erklärung nach Absatz 2 Nummer 6 und der Erbringung der Sicherheitsleistung technisch sicher, dass der Projektträger die UER-Nachweise ausstellen kann.</w:t>
      </w:r>
    </w:p>
    <w:p>
      <w:r>
        <w:rPr>
          <w:color w:val="555555"/>
          <w:sz w:val="17"/>
        </w:rPr>
        <w:t xml:space="preserve">Zitiervorschlag: § 19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