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UERV — Mitteilung und Veröffentlichung des Anrechnungszeitraums</w:t>
      </w:r>
    </w:p>
    <w:p>
      <w:r>
        <w:rPr>
          <w:color w:val="555555"/>
          <w:sz w:val="18"/>
        </w:rPr>
        <w:t xml:space="preserve">Upstream-Emissionsminderungs-Verordnung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Wurde einer Projekttätigkeit die Zustimmung erteilt, so teilt der Projektträger dem Umweltbundesamt den Beginn des Anrechnungszeitraums für diese Projekttätigkeit mit.</w:t>
      </w:r>
    </w:p>
    <w:p>
      <w:r>
        <w:t xml:space="preserve">(2) Der Anrechnungszeitraum beginnt frühestens am Tag nach der Mitteilung an das Umweltbundesamt.</w:t>
      </w:r>
    </w:p>
    <w:p>
      <w:r>
        <w:t xml:space="preserve">(3) Das Umweltbundesamt veröffentlicht den Beginn des Anrechnungszeitraums unverzüglich auf seiner Internetseite.</w:t>
      </w:r>
    </w:p>
    <w:p>
      <w:r>
        <w:rPr>
          <w:color w:val="555555"/>
          <w:sz w:val="17"/>
        </w:rPr>
        <w:t xml:space="preserve">Zitiervorschlag: § 15 UERV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https://recht.nulegal.eu/gesetze/UERV/15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