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UERV — Sicherheitsleistung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Sicherheitsleistung dient dazu, die Erfüllung der Verpflichtung nach § 24 Absatz 3 Satz 1 sicherzustellen. Die Höhe der Sicherheitsleistung legt das Umweltbundesamt im Rahmen der Zustimmung fest. Dabei berücksichtigt es insbesondere die Art der Projekttätigkeit, die geschätzte Höhe der Upstream-Emissionsminderungen und den zu erwartenden Marktwert der UER-Nachweise.</w:t>
      </w:r>
    </w:p>
    <w:p>
      <w:r>
        <w:t xml:space="preserve">(2) Die Sicherheitsleistung ist in Form einer selbstschuldnerischen Bankbürgschaft eines Kreditinstituts mit Sitz in der Europäischen Union oder in einem Vertragsstaat des Abkommens über den Europäischen Wirtschaftsraum zu erbringen.</w:t>
      </w:r>
    </w:p>
    <w:p>
      <w:r>
        <w:rPr>
          <w:color w:val="555555"/>
          <w:sz w:val="17"/>
        </w:rPr>
        <w:t xml:space="preserve">Zitiervorschlag: § 14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