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UERV — Anwendungsbereich</w:t>
      </w:r>
    </w:p>
    <w:p>
      <w:r>
        <w:rPr>
          <w:color w:val="555555"/>
          <w:sz w:val="18"/>
        </w:rPr>
        <w:t xml:space="preserve">Upstream-Emissionsminderungs-Verordnung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regelt die Anrechnung von Upstream-Emissionsminderungen zur Erfüllung der gesetzlichen Verpflichtung zur Minderung von Treibhausgasemissionen nach § 37a Absatz 1 Satz 1 und 2 in Verbindung mit § 37a Absatz 4 des Bundes-Immissionsschutzgesetzes.</w:t>
      </w:r>
    </w:p>
    <w:p>
      <w:r>
        <w:t xml:space="preserve">(2) Die Verordnung ist nicht anwendbar auf</w:t>
      </w:r>
    </w:p>
    <w:p>
      <w:pPr>
        <w:ind w:left="420"/>
      </w:pPr>
      <w:r>
        <w:t xml:space="preserve">1. Emissionsminderungen durch Projekttätigkeiten, die zu einer unmittelbaren oder mittelbaren Verringerung der Emissionen einer Anlage führen, die dem Anwendungsbereich der Richtlinie 2003/87/EG des Europäischen Parlaments und des Rates vom 13. Oktober 2003 über ein System für den Handel mit Treibhausgasemissionszertifikaten in der Gemeinschaft und zur Änderung der Richtlinie 96/61/EG des Rates (ABl. L 275 vom 25.10.2003, S. 32), die zuletzt durch Artikel 2 des Beschlusses (EU) 2015/1814 (ABl. L 264 vom 9.10.2015, S. 1) geändert worden ist, unterliegt, oder</w:t>
      </w:r>
    </w:p>
    <w:p>
      <w:pPr>
        <w:ind w:left="420"/>
      </w:pPr>
      <w:r>
        <w:t xml:space="preserve">2. den Anteil an Emissionsminderungen durch Projekttätigkeiten im Inland, der durch öffentliche Fördermittel finanziert wird; dies gilt nicht, wenn die öffentlichen Fördermittel der Absicherung von Investitionen dienen.</w:t>
      </w:r>
    </w:p>
    <w:p>
      <w:r>
        <w:rPr>
          <w:color w:val="555555"/>
          <w:sz w:val="17"/>
        </w:rPr>
        <w:t xml:space="preserve">Zitiervorschlag: § 1 UERV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