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UDÜV</w:t>
      </w:r>
    </w:p>
    <w:p>
      <w:r>
        <w:rPr>
          <w:color w:val="555555"/>
          <w:sz w:val="18"/>
        </w:rPr>
        <w:t xml:space="preserve">Universaldienst-Übertragungsverordnung</w:t>
      </w:r>
    </w:p>
    <w:p>
      <w:r>
        <w:rPr>
          <w:color w:val="555555"/>
          <w:sz w:val="18"/>
        </w:rPr>
        <w:t xml:space="preserve">Stand: 04.12.2021 (konsolidierte Textfassung, kein amtliches Inkrafttretensdatum)</w:t>
      </w:r>
    </w:p>
    <w:p>
      <w:r>
        <w:t xml:space="preserve">Auf Grund des § 157 Absatz 5 Satz 1 des Telekommunikationsgesetzes vom 23. Juni 2021 (BGBl. I S. 1858)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UDÜV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https://recht.nulegal.eu/gesetze/UD%C3%9CV/eingangsformel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