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UBSKMG — Verschwiegenheitspflicht</w:t>
      </w:r>
    </w:p>
    <w:p>
      <w:r>
        <w:rPr>
          <w:color w:val="555555"/>
          <w:sz w:val="18"/>
        </w:rPr>
        <w:t xml:space="preserve">Antimissbrauchsbeauftragtengesetz</w:t>
      </w:r>
    </w:p>
    <w:p>
      <w:r>
        <w:rPr>
          <w:color w:val="555555"/>
          <w:sz w:val="18"/>
        </w:rPr>
        <w:t xml:space="preserve">Stand: 01.07.2025 (konsolidierte Textfassung, kein amtliches Inkrafttretensdatum)</w:t>
      </w:r>
    </w:p>
    <w:p>
      <w:r>
        <w:t xml:space="preserve">Die Mitglieder der Unabhängigen Aufarbeitungskommission sind zur Verschwiegenheit nach Maßgabe des § 17 verpflichtet.</w:t>
      </w:r>
    </w:p>
    <w:p>
      <w:r>
        <w:rPr>
          <w:color w:val="555555"/>
          <w:sz w:val="17"/>
        </w:rPr>
        <w:t xml:space="preserve">Zitiervorschlag: § 28 UBSKMG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https://recht.nulegal.eu/gesetze/UBSKMG/28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