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UBSKMG — Verschwiegenheitspflicht</w:t>
      </w:r>
    </w:p>
    <w:p>
      <w:r>
        <w:rPr>
          <w:color w:val="555555"/>
          <w:sz w:val="18"/>
        </w:rPr>
        <w:t xml:space="preserve">Antimissbrauchsbeauftragtengesetz</w:t>
      </w:r>
    </w:p>
    <w:p>
      <w:r>
        <w:rPr>
          <w:color w:val="555555"/>
          <w:sz w:val="18"/>
        </w:rPr>
        <w:t xml:space="preserve">Stand: 01.07.2025 (konsolidierte Textfassung, kein amtliches Inkrafttretensdatum)</w:t>
      </w:r>
    </w:p>
    <w:p>
      <w:r>
        <w:t xml:space="preserve">Die Mitglieder des Betroffenenrates sind zur Verschwiegenheit über die Angelegenheiten, die ihnen während der Mitgliedschaft im Betroffenenrat berichtet oder bekannt werden, auch nach Beendigung der Mitgliedschaft, verpflichtet.</w:t>
      </w:r>
    </w:p>
    <w:p>
      <w:r>
        <w:rPr>
          <w:color w:val="555555"/>
          <w:sz w:val="17"/>
        </w:rPr>
        <w:t xml:space="preserve">Zitiervorschlag: § 24 UBSKMG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https://recht.nulegal.eu/gesetze/UBSKMG/24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