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UBSKMG — Benachteiligungsverbot; Freistellung von der Arbeitsleistung</w:t>
      </w:r>
    </w:p>
    <w:p>
      <w:r>
        <w:rPr>
          <w:color w:val="555555"/>
          <w:sz w:val="18"/>
        </w:rPr>
        <w:t xml:space="preserve">Antimissbrauchsbeauftragtengesetz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Niemand darf wegen der Tätigkeit im Betroffenenrat benachteiligt werden.</w:t>
      </w:r>
    </w:p>
    <w:p>
      <w:r>
        <w:t xml:space="preserve">(2) Die Mitglieder sind für die Zeit der Sitzungen des Betroffenenrates sowie für die Dauer der Anreise von ihrem Arbeitgeber oder Dienstherrn von der Arbeitsleistung freizustellen.</w:t>
      </w:r>
    </w:p>
    <w:p>
      <w:r>
        <w:t xml:space="preserve">(3) Die Kündigung eines Arbeitsverhältnisses wegen der Übernahme oder der Ausübung der Tätigkeit im Betroffenenrat ist unzulässig.</w:t>
      </w:r>
    </w:p>
    <w:p>
      <w:r>
        <w:rPr>
          <w:color w:val="555555"/>
          <w:sz w:val="17"/>
        </w:rPr>
        <w:t xml:space="preserve">Zitiervorschlag: § 23 UBSKMG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https://recht.nulegal.eu/gesetze/UBSKMG/23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