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UBSKMG — Verarbeitung personenbezogener Daten</w:t>
      </w:r>
    </w:p>
    <w:p>
      <w:r>
        <w:rPr>
          <w:color w:val="555555"/>
          <w:sz w:val="18"/>
        </w:rPr>
        <w:t xml:space="preserve">Antimissbrauchsbeauftragtengesetz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Die oder der Unabhängige Bundesbeauftragte ist befugt, personenbezogene Daten zu verarbeiten, soweit dies zur Erfüllung der in § 6 Absatz 1 bezeichneten Aufgaben erforderlich ist.</w:t>
      </w:r>
    </w:p>
    <w:p>
      <w:r>
        <w:t xml:space="preserve">(2) Abweichend von Artikel 9 Absatz 1 der Verordnung (EU) Nr. 2016/679 des Europäischen Parlaments und des Rates vom 27. April 2016 zum Schutz natürlicher Personen bei der Verarbeitung personenbezogener Daten, zum freien Datenverkehr und zur Aufhebung der Richtlinie 95/46/EG (ABl. L 119 vom 4.5.2016, S. 1; L 314 vom 22.11.2016, S. 72; L 127 vom 23.5.2018, S. 2; L 74 vom 4.3.2021, S. 35) ist die Verarbeitung besonderer Kategorien personenbezogener Daten zulässig, wenn dies zur Erfüllung der Aufgaben der oder des Unabhängigen Bundesbeauftragten nach § 6 Absatz 1 Nummer 1 und Nummer 3 erforderlich ist. Die oder der Unabhängige Bundesbeauftragte hat hierfür spezifische und angemessene Maßnahmen zur Wahrung der Interessen der betroffenen Person vorzusehen; § 22 Absatz 2 Satz 2 des Bundesdatenschutzgesetzes ist entsprechend anzuwenden.</w:t>
      </w:r>
    </w:p>
    <w:p>
      <w:r>
        <w:t xml:space="preserve">(3) Die personenbezogenen Daten nach Absatz 2 sind spätestens fünf Jahre nach ihrer Erhebung zu löschen.</w:t>
      </w:r>
    </w:p>
    <w:p>
      <w:r>
        <w:rPr>
          <w:color w:val="555555"/>
          <w:sz w:val="17"/>
        </w:rPr>
        <w:t xml:space="preserve">Zitiervorschlag: § 18 UBSKMG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https://recht.nulegal.eu/gesetze/UBSKMG/18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