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UBRegV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04.07.2024 (konsolidierte Textfassung, kein amtliches Inkrafttretensdatum)</w:t>
      </w:r>
    </w:p>
    <w:p>
      <w:r>
        <w:t xml:space="preserve">Aufgrund des § 10 des Unternehmensbasisdatenregistergesetzes vom 9. Juli 2021 (BGBl. I S. 2506), der durch Artikel 1 des Gesetzes vom 22. Dezember 2023 (BGBl. 2023 I Nr. 404) geändert worden ist, in Verbindung mit § 1 Absatz 2 des Zuständigkeitsanpassungsgesetzes vom 16. August 2002 (BGBl. I S. 3165) und dem Organisationserlass vom 8. Dezember 2021 (BGBl. I S. 5176) verordnen das Bundesministerium der Finanzen, das Bundesministerium für Wirtschaft und Klimaschutz und das Bundesministerium der Justiz:</w:t>
      </w:r>
    </w:p>
    <w:p>
      <w:r>
        <w:rPr>
          <w:color w:val="555555"/>
          <w:sz w:val="17"/>
        </w:rPr>
        <w:t xml:space="preserve">Zitiervorschlag: Eingangsformel UBRegV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