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UBRegV — Weitere Datenübermittlung durch die Registerbehörde</w:t>
      </w:r>
    </w:p>
    <w:p>
      <w:r>
        <w:rPr>
          <w:color w:val="555555"/>
          <w:sz w:val="18"/>
        </w:rPr>
        <w:t xml:space="preserve">Verordnung über das Register über Unternehmensbasisdaten</w:t>
      </w:r>
    </w:p>
    <w:p>
      <w:r>
        <w:rPr>
          <w:color w:val="555555"/>
          <w:sz w:val="18"/>
        </w:rPr>
        <w:t xml:space="preserve">Stand: 28.08.2026 (konsolidierte Textfassung, kein amtliches Inkrafttretensdatum)</w:t>
      </w:r>
    </w:p>
    <w:p>
      <w:r>
        <w:t xml:space="preserve">(1) Über § 5 des Unternehmensbasisdatenregistergesetzes hinaus darf die Registerbehörde an folgende öffentliche Stellen zu folgenden Zwecken für die Anlässe nach Absatz 2 Unternehmensbasisdaten übermitteln:</w:t>
      </w:r>
    </w:p>
    <w:p>
      <w:pPr>
        <w:ind w:left="420"/>
      </w:pPr>
      <w:r>
        <w:t xml:space="preserve">1. an die Deutsche Industrie- und Handelskammer zur Unterstützung und Förderung der Zusammenarbeit und der Aufgabenwahrnehmung der Industrie- und Handelskammern nach § 10a Absatz 3 und 4 Nummer 1 des Gesetzes zur vorläufigen Regelung des Rechts der Industrie- und Handelskammern,</w:t>
      </w:r>
    </w:p>
    <w:p>
      <w:pPr>
        <w:ind w:left="420"/>
      </w:pPr>
      <w:r>
        <w:t xml:space="preserve">2. an die Bundesnetzagentur zur Pflege der Daten im Marktstammdatenregister nach § 111e des Energiewirtschaftsgesetzes,</w:t>
      </w:r>
    </w:p>
    <w:p>
      <w:pPr>
        <w:ind w:left="420"/>
      </w:pPr>
      <w:r>
        <w:t xml:space="preserve">3. an das Bundesamt für Logistik und Mobilität zur Pflege der Daten in der Verkehrsunternehmensdatei nach § 15 des Güterkraftverkehrsgesetzes,</w:t>
      </w:r>
    </w:p>
    <w:p>
      <w:pPr>
        <w:ind w:left="420"/>
      </w:pPr>
      <w:r>
        <w:t xml:space="preserve">4. an das Bundeskartellamt</w:t>
      </w:r>
    </w:p>
    <w:p>
      <w:pPr>
        <w:ind w:left="780"/>
      </w:pPr>
      <w:r>
        <w:t xml:space="preserve">a) zur Pflege der Daten des Wettbewerbsregisters nach § 3 Absatz 1 des Wettbewerbsregistergesetzes,</w:t>
      </w:r>
    </w:p>
    <w:p>
      <w:pPr>
        <w:ind w:left="780"/>
      </w:pPr>
      <w:r>
        <w:t xml:space="preserve">b) in Verwaltungssachen, Bußgeldsachen und Vollstreckungsverfahren nach Teil 3 Kapitel 1 bis 3 des Gesetzes gegen Wettbewerbsbeschränkungen,</w:t>
      </w:r>
    </w:p>
    <w:p>
      <w:pPr>
        <w:ind w:left="420"/>
      </w:pPr>
      <w:r>
        <w:t xml:space="preserve">5. an das Bundesamt für Justiz für Überwachungsaufgaben nach § 6 Absatz 1 des Elektronische-Beweismittel-Umsetzungs-und-Durchführungsgesetzes und Bußgeldverfahren nach § 18 Absatz 1 und 8 Nummer 1 des Elektronische-Beweismittel-Umsetzungs-und-Durchführungsgesetzes,</w:t>
      </w:r>
    </w:p>
    <w:p>
      <w:pPr>
        <w:ind w:left="420"/>
      </w:pPr>
      <w:r>
        <w:t xml:space="preserve">6. an das Umweltbundesamt</w:t>
      </w:r>
    </w:p>
    <w:p>
      <w:pPr>
        <w:ind w:left="780"/>
      </w:pPr>
      <w:r>
        <w:t xml:space="preserve">a) zur Pflege der Unternehmensdaten im Register nach § 2 des Gesetzes zur Ausführung des Protokolls über Schadstofffreisetzungs- und Verbringungsregister vom 21. Mai 2003 sowie zur Durchführung der Verordnung (EG) Nr. 166/2006,</w:t>
      </w:r>
    </w:p>
    <w:p>
      <w:pPr>
        <w:ind w:left="780"/>
      </w:pPr>
      <w:r>
        <w:t xml:space="preserve">b) als zuständige Behörde nach § 11 Absatz 1 Nummer 4 des Treibhausgas-Emissionshandelsgesetzes für</w:t>
      </w:r>
    </w:p>
    <w:p>
      <w:pPr>
        <w:ind w:left="1140"/>
      </w:pPr>
      <w:r>
        <w:t xml:space="preserve">aa) die Pflege und Prüfung der CBAM-Anmelder- und Antragsdaten nach Artikel 11 Absatz 1 in Verbindung mit den Artikeln 5, 6, 14, 17, 19 und 25a der Verordnung (EU) 2023/956 zum Zwecke des Vollzugs dieser Verordnung,</w:t>
      </w:r>
    </w:p>
    <w:p>
      <w:pPr>
        <w:ind w:left="1140"/>
      </w:pPr>
      <w:r>
        <w:t xml:space="preserve">bb) die Pflege und Prüfung von Unternehmensdaten im Emissionshandelsregister nach § 9 des Treibhausgas-Emissionshandelsgesetzes,</w:t>
      </w:r>
    </w:p>
    <w:p>
      <w:pPr>
        <w:ind w:left="1140"/>
      </w:pPr>
      <w:r>
        <w:t xml:space="preserve">cc) die Pflege und Prüfung der Unternehmensdaten von Betreibern, Schifffahrtsunternehmens oder Verantwortlichen nach § 12 Absatz 1 des Treibhausgas-Emissionshandelsgesetzes,</w:t>
      </w:r>
    </w:p>
    <w:p>
      <w:pPr>
        <w:ind w:left="1140"/>
      </w:pPr>
      <w:r>
        <w:t xml:space="preserve">dd) die Pflege und Prüfung von Unternehmensdaten im Rahmen des Vollzugs nach § 33 des Treibhausgas-Emissionshandelsgesetzes,</w:t>
      </w:r>
    </w:p>
    <w:p>
      <w:pPr>
        <w:ind w:left="1140"/>
      </w:pPr>
      <w:r>
        <w:t xml:space="preserve">ee) die Pflege und Prüfung von Unternehmensdaten von Antragstellern im Rahmen des Vollzugs bei der Strompreiskompensation nach § 19 Absatz 6 des Treibhausgas-Emissionshandelsgesetzes,</w:t>
      </w:r>
    </w:p>
    <w:p>
      <w:pPr>
        <w:ind w:left="780"/>
      </w:pPr>
      <w:r>
        <w:t xml:space="preserve">c) zur Pflege und Prüfung von Unternehmensdaten im zentralen Register für erneuerbare Kraftstoffe nicht biogenen Ursprungs nach § 44 der Verordnung zur Anrechnung von strombasierten Kraftstoffen und mitverarbeiteten biogenen Ölen auf die Treibhausgasquote,</w:t>
      </w:r>
    </w:p>
    <w:p>
      <w:pPr>
        <w:ind w:left="780"/>
      </w:pPr>
      <w:r>
        <w:t xml:space="preserve">d) zur Pflege und Prüfung von Unternehmensdaten im Herkunftsnachweisregister und Regionalnachweisregister für Strom aus erneuerbaren Energien nach den §§ 79 und 79a des Erneuerbare-Energien-Gesetzes,</w:t>
      </w:r>
    </w:p>
    <w:p>
      <w:pPr>
        <w:ind w:left="780"/>
      </w:pPr>
      <w:r>
        <w:t xml:space="preserve">e) zur Pflege und Prüfung von Unternehmensdaten in den Herkunftsnachweisregistern nach § 3 Nummer 1 und 2 der Gas-Wärme-Kälte-Herkunftsnachweisregister-Verordnung,</w:t>
      </w:r>
    </w:p>
    <w:p>
      <w:pPr>
        <w:ind w:left="780"/>
      </w:pPr>
      <w:r>
        <w:t xml:space="preserve">f) zur Pflege und Prüfung von Unternehmensdaten im Nationalen Emissionshandelsregister nach § 12 des Brennstoffemissionshandelsgesetzes,</w:t>
      </w:r>
    </w:p>
    <w:p>
      <w:pPr>
        <w:ind w:left="780"/>
      </w:pPr>
      <w:r>
        <w:t xml:space="preserve">g) zur Pflege und Prüfung von Unternehmensdaten von Verantwortlichen als zuständige Behörde nach § 13 Absatz 1 des Brennstoffemissionshandelsgesetzes für die Durchführung nach § 14 Absatz 1 des Brennstoffemissionshandelsgesetzes und von Antragstellern als zuständige Behörde nach § 3 Absatz 1 der BEHG-Carbon-Leakage-Verordnung.</w:t>
      </w:r>
    </w:p>
    <w:p>
      <w:r>
        <w:t xml:space="preserve">Die Registerbehörde darf an öffentliche Stellen nach Satz 1 nur Unternehmensbasisdaten zu denjenigen Unternehmen nach § 3 Absatz 1 des Unternehmensbasisdatenregistergesetzes übermitteln, für deren Daten die öffentliche Stelle nach den für sie geltenden datenschutzrechtlichen Bestimmungen verarbeitungsbefugt ist.</w:t>
      </w:r>
    </w:p>
    <w:p>
      <w:r>
        <w:t xml:space="preserve">(2) Die Registerbehörde übermittelt anlassbezogen an die öffentlichen Stellen nach Absatz 1 in automatisierten Verfahren Unternehmensbasisdaten aufgrund folgender Ereignisse:</w:t>
      </w:r>
    </w:p>
    <w:p>
      <w:pPr>
        <w:ind w:left="420"/>
      </w:pPr>
      <w:r>
        <w:t xml:space="preserve">1. einmalig nach Anbindung an das Basisregister,</w:t>
      </w:r>
    </w:p>
    <w:p>
      <w:pPr>
        <w:ind w:left="420"/>
      </w:pPr>
      <w:r>
        <w:t xml:space="preserve">2. regelmäßig und wiederkehrend bei Neugründung, Änderung oder Beendigung eines Unternehmens nach § 3 Absatz 1 des Unternehmensbasisdatenregistergesetzes.</w:t>
      </w:r>
    </w:p>
    <w:p>
      <w:r>
        <w:t xml:space="preserve">Die öffentlichen Stellen nach Absatz 1 sind berechtigt, von der Registerbehörde durch automatisierte Verfahren Unternehmensbasisdaten zu erhalten, soweit dies zur Erfüllung der in ihrer Zuständigkeit liegenden Aufgaben erforderlich ist.</w:t>
      </w:r>
    </w:p>
    <w:p>
      <w:r>
        <w:rPr>
          <w:color w:val="555555"/>
          <w:sz w:val="17"/>
        </w:rPr>
        <w:t xml:space="preserve">Zitiervorschlag: § 9 UBRegV</w:t>
      </w:r>
    </w:p>
    <w:p>
      <w:r>
        <w:rPr>
          <w:color w:val="555555"/>
          <w:sz w:val="17"/>
        </w:rPr>
        <w:t xml:space="preserve">Quelle: Bundesamt für Justiz, abgerufen 28.08.2026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https://recht.nulegal.eu/gesetze/UBRegV/9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