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UBRegV — Einsichtnahme in die Protokolldaten, Auskünfte</w:t>
      </w:r>
    </w:p>
    <w:p>
      <w:r>
        <w:rPr>
          <w:color w:val="555555"/>
          <w:sz w:val="18"/>
        </w:rPr>
        <w:t xml:space="preserve">Verordnung über das Register über Unternehmensbasisdaten</w:t>
      </w:r>
    </w:p>
    <w:p>
      <w:r>
        <w:rPr>
          <w:color w:val="555555"/>
          <w:sz w:val="18"/>
        </w:rPr>
        <w:t xml:space="preserve">Stand: 04.07.2024 (konsolidierte Textfassung, kein amtliches Inkrafttretensdatum)</w:t>
      </w:r>
    </w:p>
    <w:p>
      <w:r>
        <w:t xml:space="preserve">(1) Jedes im Basisregister geführte Unternehmen nach § 3 Absatz 1 des Unternehmensbasisdatenregistergesetzes kann in die Daten, die nach § 6 zu ihm protokolliert worden sind, Einsicht nehmen. Die Einsichtnahme wird nach Identifizierung und Authentifizierung über das Organisationskonto nach § 2 Absatz 5 Satz 4 des Onlinezugangsgesetzes gewährt.</w:t>
      </w:r>
    </w:p>
    <w:p>
      <w:r>
        <w:t xml:space="preserve">(2) Die Einsichtnahme erfolgt ausschließlich elektronisch über die von der Registerbehörde vorgegebenen Schnittstellen sowie über eine nach dem Stand der Technik gesicherte Verbindung.</w:t>
      </w:r>
    </w:p>
    <w:p>
      <w:r>
        <w:t xml:space="preserve">(3) Artikel 15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314 vom 22.11.2016, S. 72; L 127 vom 23.5.2018, S. 2; L 74 vom 4.3.2021, S. 35) bleibt unberührt.</w:t>
      </w:r>
    </w:p>
    <w:p>
      <w:r>
        <w:rPr>
          <w:color w:val="555555"/>
          <w:sz w:val="17"/>
        </w:rPr>
        <w:t xml:space="preserve">Zitiervorschlag: § 7 UBRegV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