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UBRegV — Informationssicherheit</w:t>
      </w:r>
    </w:p>
    <w:p>
      <w:r>
        <w:rPr>
          <w:color w:val="555555"/>
          <w:sz w:val="18"/>
        </w:rPr>
        <w:t xml:space="preserve">Verordnung über das Register über Unternehmensbasisdaten</w:t>
      </w:r>
    </w:p>
    <w:p>
      <w:r>
        <w:rPr>
          <w:color w:val="555555"/>
          <w:sz w:val="18"/>
        </w:rPr>
        <w:t xml:space="preserve">Stand: 04.07.2024 (konsolidierte Textfassung, kein amtliches Inkrafttretensdatum)</w:t>
      </w:r>
    </w:p>
    <w:p>
      <w:r>
        <w:t xml:space="preserve">(1) Kommt es während einer Datenübermittlung nach § 4 Absatz 2 des Unternehmensbasisdatenregistergesetzes zu Störungen oder Unterbrechungen, soll die Registerbehörde die erneute Übermittlung der infolge der Störung oder Unterbrechung nicht übermittelten Daten verlangen.</w:t>
      </w:r>
    </w:p>
    <w:p>
      <w:r>
        <w:t xml:space="preserve">(2) Die Registerbehörde erstellt für das Basisregister ein Informationssicherheitskonzept nach dem BSI-Standard 200-2.</w:t>
      </w:r>
    </w:p>
    <w:p>
      <w:r>
        <w:rPr>
          <w:color w:val="555555"/>
          <w:sz w:val="17"/>
        </w:rPr>
        <w:t xml:space="preserve">Zitiervorschlag: § 5 UBRegV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https://recht.nulegal.eu/gesetze/UBRegV/5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