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UBRegV — Änderung von Identifikationsnummern</w:t>
      </w:r>
    </w:p>
    <w:p>
      <w:r>
        <w:rPr>
          <w:color w:val="555555"/>
          <w:sz w:val="18"/>
        </w:rPr>
        <w:t xml:space="preserve">Verordnung über das Register über Unternehmensbasisdaten</w:t>
      </w:r>
    </w:p>
    <w:p>
      <w:r>
        <w:rPr>
          <w:color w:val="555555"/>
          <w:sz w:val="18"/>
        </w:rPr>
        <w:t xml:space="preserve">Stand: 04.07.2024 (konsolidierte Textfassung, kein amtliches Inkrafttretensdatum)</w:t>
      </w:r>
    </w:p>
    <w:p>
      <w:r>
        <w:t xml:space="preserve">Bei der Änderung von Identifikationsnummern gemäß § 3 Absatz 3 des Unternehmensbasisdatenregistergesetzes sind der Registerbehörde auch die jeweils vormals verwendeten Identifikationsnummern, insbesondere von Rechtsvorgänger und Rechtsnachfolger, zu übermitteln, sofern diese vorliegen.</w:t>
      </w:r>
    </w:p>
    <w:p>
      <w:r>
        <w:rPr>
          <w:color w:val="555555"/>
          <w:sz w:val="17"/>
        </w:rPr>
        <w:t xml:space="preserve">Zitiervorschlag: § 3 UBRegV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