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UBRegV — Übermittlung voneinander abweichender Daten</w:t>
      </w:r>
    </w:p>
    <w:p>
      <w:r>
        <w:rPr>
          <w:color w:val="555555"/>
          <w:sz w:val="18"/>
        </w:rPr>
        <w:t xml:space="preserve">Verordnung über das Register über Unternehmensbasisdaten</w:t>
      </w:r>
    </w:p>
    <w:p>
      <w:r>
        <w:rPr>
          <w:color w:val="555555"/>
          <w:sz w:val="18"/>
        </w:rPr>
        <w:t xml:space="preserve">Stand: 04.07.2024 (konsolidierte Textfassung, kein amtliches Inkrafttretensdatum)</w:t>
      </w:r>
    </w:p>
    <w:p>
      <w:r>
        <w:t xml:space="preserve">Liegen bei einer datenübermittelnden Stelle nach § 4 Absatz 1 des Unternehmensbasisdatenregistergesetzes zu einem Unternehmen nach § 3 Absatz 1 des Unternehmensbasisdatenregistergesetzes voneinander abweichende Daten nach § 3 Absatz 2, 3 und 4 Nummer 1 des Unternehmensbasisdatenregistergesetzes vor, so übermittelt die Stelle der Registerbehörde alle ihr zu diesem Unternehmen nach § 3 Absatz 2, 3 und 4 Nummer 1 des Unternehmensbasisdatenregistergesetzes vorliegenden Daten.</w:t>
      </w:r>
    </w:p>
    <w:p>
      <w:r>
        <w:rPr>
          <w:color w:val="555555"/>
          <w:sz w:val="17"/>
        </w:rPr>
        <w:t xml:space="preserve">Zitiervorschlag: § 2 UBRegV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