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UBRegV — Zeitpunkt der Datenübermittlung</w:t>
      </w:r>
    </w:p>
    <w:p>
      <w:r>
        <w:rPr>
          <w:color w:val="555555"/>
          <w:sz w:val="18"/>
        </w:rPr>
        <w:t xml:space="preserve">Verordnung über das Register über Unternehmensbasisdaten</w:t>
      </w:r>
    </w:p>
    <w:p>
      <w:r>
        <w:rPr>
          <w:color w:val="555555"/>
          <w:sz w:val="18"/>
        </w:rPr>
        <w:t xml:space="preserve">Stand: 04.07.2024 (konsolidierte Textfassung, kein amtliches Inkrafttretensdatum)</w:t>
      </w:r>
    </w:p>
    <w:p>
      <w:r>
        <w:t xml:space="preserve">(1) Die Datenübermittlung an die Registerbehörde nach § 4 Absatz 2 des Unternehmensbasisdatenregistergesetzes erfolgt unverzüglich nach der Eintragung beziehungsweise der Speicherung der Neugründung, Änderung oder Löschung eines Unternehmens nach § 3 Absatz 1 des Unternehmensbasisdatenregistergesetzes bei den Stellen nach § 4 Absatz 1 des Unternehmensbasisdatenregistergesetzes, spätestens jedoch 24 Stunden nach der Eintragung beziehungsweise der Speicherung des jeweiligen Ereignisses.</w:t>
      </w:r>
    </w:p>
    <w:p>
      <w:r>
        <w:t xml:space="preserve">(2) Die Datenübermittlung durch die Registerbehörde nach § 5 Absatz 2 des Unternehmensbasisdatenregistergesetzes erfolgt unverzüglich nach der Speicherung der gemeldeten Neugründung, Änderung oder Beendigung eines Unternehmens nach § 3 Absatz 1 des Unternehmensbasisdatenregistergesetzes im Basisregister, spätestens jedoch 24 Stunden nach der Speicherung des jeweiligen Ereignisses.</w:t>
      </w:r>
    </w:p>
    <w:p>
      <w:r>
        <w:rPr>
          <w:color w:val="555555"/>
          <w:sz w:val="17"/>
        </w:rPr>
        <w:t xml:space="preserve">Zitiervorschlag: § 1 UBRegV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