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UBRegG — Informationssicherheit</w:t>
      </w:r>
    </w:p>
    <w:p>
      <w:r>
        <w:rPr>
          <w:color w:val="555555"/>
          <w:sz w:val="18"/>
        </w:rPr>
        <w:t xml:space="preserve">Unternehmensbasisdatenregistergesetz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(1) Es sind geeignete technische und organisatorische Maßnahmen der Datensicherheit für den Betrieb des Basisregisters, die Datenübermittlungen an und durch die Registerbehörde sowie für die Protokollierung zu treffen.</w:t>
      </w:r>
    </w:p>
    <w:p>
      <w:r>
        <w:t xml:space="preserve">(2) Die Einzelheiten nach Absatz 1 sind durch die Rechtsverordnung nach § 10 Satz 1 Nummer 2 festzulegen.</w:t>
      </w:r>
    </w:p>
    <w:p>
      <w:r>
        <w:rPr>
          <w:color w:val="555555"/>
          <w:sz w:val="17"/>
        </w:rPr>
        <w:t xml:space="preserve">Zitiervorschlag: § 9 UBRegG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