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UBRegG — Protokollierung</w:t>
      </w:r>
    </w:p>
    <w:p>
      <w:r>
        <w:rPr>
          <w:color w:val="555555"/>
          <w:sz w:val="18"/>
        </w:rPr>
        <w:t xml:space="preserve">Unternehmensbasisdatenregistergesetz</w:t>
      </w:r>
    </w:p>
    <w:p>
      <w:r>
        <w:rPr>
          <w:color w:val="555555"/>
          <w:sz w:val="18"/>
        </w:rPr>
        <w:t xml:space="preserve">Stand: 29.12.2022 (konsolidierte Textfassung, kein amtliches Inkrafttretensdatum)</w:t>
      </w:r>
    </w:p>
    <w:p>
      <w:r>
        <w:t xml:space="preserve">(1) Die Datenübermittlungen durch die Registerbehörde werden bei der Registerbehörde protokolliert.</w:t>
      </w:r>
    </w:p>
    <w:p>
      <w:r>
        <w:t xml:space="preserve">(2) Die Protokolldaten von natürlichen Personen, die Unternehmen nach § 3 Absatz 1 sind, dürfen ausschließlich zum Zwecke der Erfüllung der Rechenschaftspflicht nach Artikel 5 Absatz 2 der Verordnung (EU) 2016/679 und der datenschutzrechtlichen Rechte der betroffenen Personen verwendet werden.</w:t>
      </w:r>
    </w:p>
    <w:p>
      <w:r>
        <w:t xml:space="preserve">(3) Unternehmen, die keine natürlichen Personen sind, können Auskünfte über die sie betreffenden Protokolldaten verlangen.</w:t>
      </w:r>
    </w:p>
    <w:p>
      <w:r>
        <w:t xml:space="preserve">(4) Die Protokolldaten sind von der Registerbehörde zwei Jahre aufzubewahren und danach unverzüglich zu löschen. Ist eine längere Aufbewahrung erforderlich, so sind die Gründe der Erforderlichkeit von der Registerbehörde zu dokumentieren. Abweichende gesetzliche Regelungen bleiben unberührt.</w:t>
      </w:r>
    </w:p>
    <w:p>
      <w:r>
        <w:rPr>
          <w:color w:val="555555"/>
          <w:sz w:val="17"/>
        </w:rPr>
        <w:t xml:space="preserve">Zitiervorschlag: § 7 UBRegG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https://recht.nulegal.eu/gesetze/UBRegG/7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