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UBRegG — Datenübermittlung an die Registerbehörde</w:t>
      </w:r>
    </w:p>
    <w:p>
      <w:r>
        <w:rPr>
          <w:color w:val="555555"/>
          <w:sz w:val="18"/>
        </w:rPr>
        <w:t xml:space="preserve">Unternehmensbasisdatenregistergesetz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Zum Zweck des Aufbaus und zur Führung des Basisregisters werden der Registerbehörde von folgenden öffentlichen Stellen folgende Daten übermittelt:</w:t>
      </w:r>
    </w:p>
    <w:p>
      <w:pPr>
        <w:ind w:left="420"/>
      </w:pPr>
      <w:r>
        <w:t xml:space="preserve">1. von den Landesjustizverwaltungen Indexdaten zu Eintragungen im Handels-, Genossenschafts-, Gesellschafts-, Partnerschafts- und Vereinsregister zu den Merkmalen nach § 3 Absatz 2, 3 und 4 Nummer 1 bis 3, soweit die Daten in dem elektronischen Informations- und Kommunikationssystem nach § 9 Absatz 1 des Handelsgesetzbuchs oder § 79 Absatz 2 Satz 2 des Bürgerlichen Gesetzbuchs gespeichert sind,</w:t>
      </w:r>
    </w:p>
    <w:p>
      <w:pPr>
        <w:ind w:left="420"/>
      </w:pPr>
      <w:r>
        <w:t xml:space="preserve">2. von der Deutschen Gesetzlichen Unfallversicherung e. V. Daten zu den Merkmalen nach § 3 Absatz 2, 3 und 4 Nummer 1 bis 3, soweit sie aufgrund des Siebten Buches Sozialgesetzbuch gespeichert sind,</w:t>
      </w:r>
    </w:p>
    <w:p>
      <w:pPr>
        <w:ind w:left="420"/>
      </w:pPr>
      <w:r>
        <w:t xml:space="preserve">3. von dem Bundeszentralamt für Steuern Daten zu den Merkmalen nach § 3 Absatz 2, 3 und 4 Nummer 1 bis 3, soweit sie aufgrund des § 139c der Abgabenordnung gespeichert sind.</w:t>
      </w:r>
    </w:p>
    <w:p>
      <w:r>
        <w:t xml:space="preserve">(2) Zur Pflege des Basisregisters übermitteln die öffentlichen Stellen nach Absatz 1 der Registerbehörde in den Fällen der Neugründung, Änderung oder Löschung eines Unternehmens nach § 3 Absatz 1 die Datensätze, die geänderte Daten nach § 3 Absatz 2, 3 und 4 Nummer 1 bis 3 enthalten.</w:t>
      </w:r>
    </w:p>
    <w:p>
      <w:r>
        <w:t xml:space="preserve">(3) Zum Aufbau und zur Pflege des Basisregisters darf die Registerbehörde von der Global Legal Entity Identifier Foundation Daten zu den Merkmalen nach § 3 Absatz 2, 3 und 4 Nummer 1 bis 3 sowie die Rechtsträgerkennung (LEI) nach § 3 Absatz 3 Nummer 10 verwenden, soweit diese bei der Global Legal Entity Identifier Foundation gespeichert sind.</w:t>
      </w:r>
    </w:p>
    <w:p>
      <w:r>
        <w:rPr>
          <w:color w:val="555555"/>
          <w:sz w:val="17"/>
        </w:rPr>
        <w:t xml:space="preserve">Zitiervorschlag: § 4 UBRegG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https://recht.nulegal.eu/gesetze/UBRegG/4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