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UBRegG — Rechtsverordnungsermächtigung</w:t>
      </w:r>
    </w:p>
    <w:p>
      <w:r>
        <w:rPr>
          <w:color w:val="555555"/>
          <w:sz w:val="18"/>
        </w:rPr>
        <w:t xml:space="preserve">Unternehmensbasisdatenregistergesetz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Das Bundesministerium der Finanzen, das Bundesministerium für Wirtschaft und Energie und das Bundesministerium der Justiz und für Verbraucherschutz werden ermächtigt, durch gemeinsame Rechtsverordnung mit Zustimmung des Bundesrates Folgendes zu regeln:</w:t>
      </w:r>
    </w:p>
    <w:p>
      <w:pPr>
        <w:ind w:left="420"/>
      </w:pPr>
      <w:r>
        <w:t xml:space="preserve">1. die Zuständigkeit, die Form und das nähere Verfahren der Mitteilung der bundeseinheitlichen Wirtschaftsnummer für Unternehmen nach § 2 an die betroffenen Unternehmen,</w:t>
      </w:r>
    </w:p>
    <w:p>
      <w:pPr>
        <w:ind w:left="420"/>
      </w:pPr>
      <w:r>
        <w:t xml:space="preserve">2. Maßnahmen zur Sicherstellung des Datenschutzes und der Datensicherheit,</w:t>
      </w:r>
    </w:p>
    <w:p>
      <w:pPr>
        <w:ind w:left="420"/>
      </w:pPr>
      <w:r>
        <w:t xml:space="preserve">3. nähere Bestimmungen zur Auskunftserteilung nach § 7 Absatz 3 an die Unternehmen nach § 3 Absatz 1 bezüglich ihrer Daten aus dem Basisregister,</w:t>
      </w:r>
    </w:p>
    <w:p>
      <w:pPr>
        <w:ind w:left="420"/>
      </w:pPr>
      <w:r>
        <w:t xml:space="preserve">4. die Festlegung technischer und organisatorischer Standards für den Betrieb des Basisregisters,</w:t>
      </w:r>
    </w:p>
    <w:p>
      <w:pPr>
        <w:ind w:left="420"/>
      </w:pPr>
      <w:r>
        <w:t xml:space="preserve">5. die Festlegung technischer und organisatorischer Standards der Datenübermittlungen nach den §§ 4 und 5,</w:t>
      </w:r>
    </w:p>
    <w:p>
      <w:pPr>
        <w:ind w:left="420"/>
      </w:pPr>
      <w:r>
        <w:t xml:space="preserve">6. die Bestimmung einzelner öffentlicher Stellen, die Daten an die Registerbehörde zum Aufbau und zur Pflege des Basisregisters übermitteln, einschließlich der von diesen zu übermittelnden Daten und</w:t>
      </w:r>
    </w:p>
    <w:p>
      <w:pPr>
        <w:ind w:left="420"/>
      </w:pPr>
      <w:r>
        <w:t xml:space="preserve">7. die Bestimmung einzelner öffentlicher Stellen, die Daten von der Registerbehörde zur Erfüllung ihrer gesetzlichen Aufgaben übermittelt bekommen, einschließlich der an diese zu übermittelnden Daten.</w:t>
      </w:r>
    </w:p>
    <w:p>
      <w:r>
        <w:t xml:space="preserve">Die Maßnahmen zur Sicherstellung der Datensicherheit nach Satz 1 Nummer 2 sowie deren Überprüfung sind im Einvernehmen mit dem Bundesamt für Sicherheit in der Informationstechnik zu erarbeiten.</w:t>
      </w:r>
    </w:p>
    <w:p>
      <w:r>
        <w:rPr>
          <w:color w:val="555555"/>
          <w:sz w:val="17"/>
        </w:rPr>
        <w:t xml:space="preserve">Zitiervorschlag: § 10 UBRegG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https://recht.nulegal.eu/gesetze/UBRegG/10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