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UBGG — Unzulässige Geschäfte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Unternehmensbeteiligungsgesellschaft darf keine Unternehmensbeteiligungen an Unternehmen halten, die Mutterunternehmen oder Schwesterunternehmen der Unternehmensbeteiligungsgesellschaft sind.</w:t>
      </w:r>
    </w:p>
    <w:p>
      <w:r>
        <w:t xml:space="preserve">(2) Die Unternehmensbeteiligungsgesellschaft darf keine Beteiligungen als stiller Gesellschafter an der Unternehmensbeteiligungsgesellschaft gewähren. Satz 1 ist nicht auf typische stille Beteiligungen von Gesellschaftern anzuwenden, die gleichzeitig an der Unternehmensbeteiligungsgesellschaft beteiligt sind.</w:t>
      </w:r>
    </w:p>
    <w:p>
      <w:r>
        <w:rPr>
          <w:color w:val="555555"/>
          <w:sz w:val="17"/>
        </w:rPr>
        <w:t xml:space="preserve">Zitiervorschlag: § 5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