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UBGG — Bußgeldvorschriften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7 Abs. 2 oder § 23 Abs. 1 Satz 1 oder Abs. 2 eine Mitteilung nicht, nicht richtig, nicht vollständig, nicht in der vorgeschriebenen Weise oder nicht rechtzeitig macht,</w:t>
      </w:r>
    </w:p>
    <w:p>
      <w:pPr>
        <w:ind w:left="420"/>
      </w:pPr>
      <w:r>
        <w:t xml:space="preserve">2. einer vollziehbaren Anordnung nach § 14 Abs. 2 Satz 2 oder § 21a Abs. 1 zuwiderhandelt,</w:t>
      </w:r>
    </w:p>
    <w:p>
      <w:pPr>
        <w:ind w:left="420"/>
      </w:pPr>
      <w:r>
        <w:t xml:space="preserve">3. entgegen § 21 Abs. 1 Satz 1 Nr. 1 eine Anzeige nicht, nicht richtig, nicht vollständig oder nicht rechtzeitig erstattet oder</w:t>
      </w:r>
    </w:p>
    <w:p>
      <w:pPr>
        <w:ind w:left="420"/>
      </w:pPr>
      <w:r>
        <w:t xml:space="preserve">4. entgegen § 21 Abs. 1 Satz 1 Nr. 2 eine dort genannte Unterlage nicht, nicht richtig, nicht vollständig oder nicht rechtzeitig einreicht oder</w:t>
      </w:r>
    </w:p>
    <w:p>
      <w:pPr>
        <w:ind w:left="420"/>
      </w:pPr>
      <w:r>
        <w:t xml:space="preserve">5. entgegen § 21 Abs. 2 Satz 2 eine Maßnahme nicht duldet.</w:t>
      </w:r>
    </w:p>
    <w:p>
      <w:r>
        <w:t xml:space="preserve">(2) Die Ordnungswidrigkeit kann in den Fällen des Absatzes 1 Nr. 1 und 2 mit einer Geldbuße bis zu hundertfünfzigtausend Euro, in den Fällen des Absatzes 1 Nr. 3 bis 5 mit einer Geldbuße bis zu fünfzigtausend Euro geahndet werden.</w:t>
      </w:r>
    </w:p>
    <w:p>
      <w:r>
        <w:rPr>
          <w:color w:val="555555"/>
          <w:sz w:val="17"/>
        </w:rPr>
        <w:t xml:space="preserve">Zitiervorschlag: § 27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