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26a UBGG — Übergangsvorschrift für den Nachweis nach § 15 Absatz 2 Nummer 4</w:t>
      </w:r>
    </w:p>
    <w:p>
      <w:r>
        <w:rPr>
          <w:color w:val="555555"/>
          <w:sz w:val="18"/>
        </w:rPr>
        <w:t xml:space="preserve">Gesetz über Unternehmensbeteiligungsgesellschaften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Unternehmensbeteiligungsgesellschaft, die vor dem 22. Juli 2013 als Unternehmensbeteiligungsgesellschaft nach Maßgabe dieses Gesetzes anerkannt ist und deren AIF-Kapitalverwaltungsgesellschaft nach den Vorschriften des Kapitalanlagegesetzbuchs erlaubnis- oder registrierungspflichtig ist, muss spätestens bis zum 21. Januar 2015 der zuständigen Behörde einen Nachweis nach § 15 Absatz 2 Nummer 4 vorlegen.</w:t>
      </w:r>
    </w:p>
    <w:p>
      <w:r>
        <w:rPr>
          <w:color w:val="555555"/>
          <w:sz w:val="17"/>
        </w:rPr>
        <w:t xml:space="preserve">Zitiervorschlag: § 26a UBGG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https://recht.nulegal.eu/gesetze/UBGG/26a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