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UBGG — Übergangsvorschriften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Zeitpunkt des Inkrafttretens des Artikels 9 des Zweiten Finanzmarktförderungsgesetzes anerkannte Unternehmensbeteiligungsgesellschaften sind abweichend von § 9 Abs. 1 Satz 1 verpflichtet, innerhalb von zwölf Jahren mindestens sieben Zehntel der Aktien der Unternehmensbeteiligungsgesellschaft öffentlich zum Erwerb anzubieten. In diesen Fällen ist § 17 Abs. 1 Nr. 1, Abs. 2 Nr. 1 mit der Maßgabe anzuwenden, daß an die Stelle einer Frist von zehn Jahren eine Frist von zwölf Jahren tritt.</w:t>
      </w:r>
    </w:p>
    <w:p>
      <w:r>
        <w:t xml:space="preserve">(2) Auf Anteile, welche die Unternehmensbeteiligungsgesellschaft zum Zeitpunkt des Inkrafttretens des Artikels 9 des Zweiten Finanzmarktförderungsgesetzes an Unternehmen hält, die weniger als fünf Jahre bestehen, ist § 4 Abs. 3 Satz 3 Halbsatz 2 mit der Maßgabe anzuwenden, daß an die Stelle einer Frist von fünf Jahren für die Veräußerung von Anteilen eine Frist von zehn Jahren tritt.</w:t>
      </w:r>
    </w:p>
    <w:p>
      <w:r>
        <w:t xml:space="preserve">(3) Bei Anteilen, welche die Unternehmensbeteiligungsgesellschaft zum Zeitpunkt des Inkrafttretens des Artikels 9 des Zweiten Finanzmarktförderungsgesetzes an Unternehmen hält, ist § 25 mit der Maßgabe anzuwenden, daß eine Zurechnung bis zum Ablauf von zwölf Jahren nach der Anerkennung der Unternehmensbeteiligungsgesellschaft nicht erfolgt; dies gilt nicht bei Anteilen, bei denen die Frist nach § 25 in der vor dem Inkrafttreten des Artikels 9 des Zweiten Finanzmarktförderungsgesetzes geltenden Fassung bereits abgelaufen war.</w:t>
      </w:r>
    </w:p>
    <w:p>
      <w:r>
        <w:rPr>
          <w:color w:val="555555"/>
          <w:sz w:val="17"/>
        </w:rPr>
        <w:t xml:space="preserve">Zitiervorschlag: § 26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