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UBGG — Befugnisse der Aufsichtsbehörde, Verschwiegenheitspflicht</w:t>
      </w:r>
    </w:p>
    <w:p>
      <w:r>
        <w:rPr>
          <w:color w:val="555555"/>
          <w:sz w:val="18"/>
        </w:rPr>
        <w:t xml:space="preserve">Gesetz über Unternehmensbeteiligungsgesellschaften</w:t>
      </w:r>
    </w:p>
    <w:p>
      <w:r>
        <w:rPr>
          <w:color w:val="555555"/>
          <w:sz w:val="18"/>
        </w:rPr>
        <w:t xml:space="preserve">Stand: 26.06.2021 (konsolidierte Textfassung, kein amtliches Inkrafttretensdatum)</w:t>
      </w:r>
    </w:p>
    <w:p>
      <w:r>
        <w:t xml:space="preserve">(1) Die Behörde kann von der Unternehmensbeteiligungsgesellschaft und deren Aktionären oder Gesellschaftern Auskünfte und die Vorlage von Urkunden verlangen, soweit dies zur Überwachung der Einhaltung der in § 7 geregelten Pflichten erforderlich ist. Die Befugnisse nach Satz 1 bestehen auch gegenüber Personen und Unternehmen, deren Kapitalanteile nach § 7 Abs. 1 Satz 4 zuzurechnen sind.</w:t>
      </w:r>
    </w:p>
    <w:p>
      <w:r>
        <w:t xml:space="preserve">(2) Die bei der Behörde beschäftigten Personen dürfen die ihnen bei ihrer Tätigkeit bekanntgewordenen Tatsachen, deren Geheimhaltung im Interesse eines nach diesem Gesetz Verpflichteten oder eines Dritten liegt, insbesondere Geschäfts- oder Betriebsgeheimnisse sowie personenbezogene Daten, nicht unbefugt offenbaren oder verwerten, auch wenn sie nicht mehr im Dienst sind oder ihre Tätigkeit beendet ist. Dies gilt auch für andere Personen, die durch dienstliche Berichterstattung Kenntnis von den in Satz 1 bezeichneten Tatsachen erhalten. Ein unbefugtes Offenbaren oder Verwerten im Sinne des Satzes 1 liegt insbesondere nicht vor, wenn Tatsachen weitergegeben werden an</w:t>
      </w:r>
    </w:p>
    <w:p>
      <w:pPr>
        <w:ind w:left="420"/>
      </w:pPr>
      <w:r>
        <w:t xml:space="preserve">1. Strafverfolgungsbehörden oder für Straf- und Bußgeldsachen zuständige Gerichte,</w:t>
      </w:r>
    </w:p>
    <w:p>
      <w:pPr>
        <w:ind w:left="420"/>
      </w:pPr>
      <w:r>
        <w:t xml:space="preserve">2. kraft Gesetzes oder im öffentlichen Auftrag mit der Überwachung von Unternehmensbeteiligungsgesellschaften, Börsen oder anderen Wertpapiermärkten, des Wertpapierhandels, von Kreditinstituten, Finanzdienstleistungsinstituten, Wertpapierinstituten, AIF-Kapitalverwaltungsgesellschaften oder Versicherungsunternehmen betraute Stellen sowie von diesen beauftragte Personen,</w:t>
      </w:r>
    </w:p>
    <w:p>
      <w:pPr>
        <w:ind w:left="420"/>
      </w:pPr>
      <w:r>
        <w:t xml:space="preserve">3. mit der Liquidation oder der Insolvenz einer Unternehmensbeteiligungsgesellschaft befaßte Stellen,</w:t>
      </w:r>
    </w:p>
    <w:p>
      <w:r>
        <w:t xml:space="preserve">soweit diese Stellen die Informationen zur Erfüllung ihrer Aufgaben benötigen. Für die bei diesen Stellen beschäftigten Personen gilt die Verschwiegenheitspflicht nach Satz 1 entsprechend. Befindet sich die Stelle in einem anderen Staat, so dürfen die Tatsachen nur dann weitergegeben werden, wenn diese Stelle und die von ihr beauftragten Personen einer dem Satz 1 entsprechenden Verschwiegenheitspflicht unterliegen. Die in Satz 3 Nr. 3 genannten Stellen, die direkt oder indirekt Informationen von zuständigen Stellen anderer Staaten erhalten, dürfen diese nur mit ausdrücklicher Zustimmung der übermittelnden Stellen weiter übermitteln. Im übrigen sind die Vorschriften des § 9 Absatz 5 des Kreditwesengesetzes entsprechend anzuwenden.</w:t>
      </w:r>
    </w:p>
    <w:p>
      <w:r>
        <w:rPr>
          <w:color w:val="555555"/>
          <w:sz w:val="17"/>
        </w:rPr>
        <w:t xml:space="preserve">Zitiervorschlag: § 21a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