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UBGG — Erneuter Antrag auf Anerkennung</w:t>
      </w:r>
    </w:p>
    <w:p>
      <w:r>
        <w:rPr>
          <w:color w:val="555555"/>
          <w:sz w:val="18"/>
        </w:rPr>
        <w:t xml:space="preserve">Gesetz über Unternehmensbeteiligungsgesellschaften</w:t>
      </w:r>
    </w:p>
    <w:p>
      <w:r>
        <w:rPr>
          <w:color w:val="555555"/>
          <w:sz w:val="18"/>
        </w:rPr>
        <w:t xml:space="preserve">Stand: 10.06.2019 (konsolidierte Textfassung, kein amtliches Inkrafttretensdatum)</w:t>
      </w:r>
    </w:p>
    <w:p>
      <w:r>
        <w:t xml:space="preserve">(1) Wird die Anerkennung als Unternehmensbeteiligungsgesellschaft zurückgenommen oder widerrufen oder verzichtet die Unternehmensbeteiligungsgesellschaft auf die Anerkennung, so kann die Gesellschaft einen erneuten Antrag frühestens drei Jahre nach dem Wirksamwerden des Verzichts, der Rücknahme oder des Widerrufs stellen.</w:t>
      </w:r>
    </w:p>
    <w:p>
      <w:r>
        <w:t xml:space="preserve">(2) Die Gesellschaft ist auf einen solchen Antrag erneut als Unternehmensbeteiligungsgesellschaft anzuerkennen, wenn sie die Voraussetzungen des § 16 Abs. 1 in Verbindung mit Abs. 2 erfüllt und, sofern sie nach ihrer Satzung oder ihrem Gesellschaftsvertrag eine offene Unternehmensbeteiligungsgesellschaft ist, sie kein Tochterunternehmen ist und an ihr keine maßgebliche Beteiligung besteht.</w:t>
      </w:r>
    </w:p>
    <w:p>
      <w:r>
        <w:t xml:space="preserve">(3) (weggefallen)</w:t>
      </w:r>
    </w:p>
    <w:p>
      <w:r>
        <w:rPr>
          <w:color w:val="555555"/>
          <w:sz w:val="17"/>
        </w:rPr>
        <w:t xml:space="preserve">Zitiervorschlag: § 19 UBGG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https://recht.nulegal.eu/gesetze/UBGG/19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