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UBGG — Widerruf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 kann die Anerkennung außer nach den Vorschriften des Verwaltungsverfahrensgesetzes widerrufen, wenn</w:t>
      </w:r>
    </w:p>
    <w:p>
      <w:pPr>
        <w:ind w:left="420"/>
      </w:pPr>
      <w:r>
        <w:t xml:space="preserve">1. die Unternehmensbeteiligungsgesellschaft gegen § 2 verstößt oder in schwerwiegender Weise Verpflichtungen verletzt, die ihr nach § 3 Abs. 1 bis 3, 5 und 6 und § 4 obliegen,</w:t>
      </w:r>
    </w:p>
    <w:p>
      <w:pPr>
        <w:ind w:left="420"/>
      </w:pPr>
      <w:r>
        <w:t xml:space="preserve">2. die Unternehmensbeteiligungsgesellschaft entgegen § 5 Abs. 2 Beteiligungen als stiller Gesellschafter gewährt hat,</w:t>
      </w:r>
    </w:p>
    <w:p>
      <w:pPr>
        <w:ind w:left="420"/>
      </w:pPr>
      <w:r>
        <w:t xml:space="preserve">3. entgegen § 5 Abs. 1 Unternehmensbeteiligungen hält oder</w:t>
      </w:r>
    </w:p>
    <w:p>
      <w:pPr>
        <w:ind w:left="420"/>
      </w:pPr>
      <w:r>
        <w:t xml:space="preserve">4. die offene Unternehmensbeteiligungsgesellschaft gegen § 7 Abs. 1 verstößt.</w:t>
      </w:r>
    </w:p>
    <w:p>
      <w:r>
        <w:rPr>
          <w:color w:val="555555"/>
          <w:sz w:val="17"/>
        </w:rPr>
        <w:t xml:space="preserve">Zitiervorschlag: § 17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