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UBGG — Voraussetzungen der Anerkennung, Erlöschen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Gesellschaft ist als Unternehmensbeteiligungsgesellschaft anzuerkennen, wenn</w:t>
      </w:r>
    </w:p>
    <w:p>
      <w:pPr>
        <w:ind w:left="420"/>
      </w:pPr>
      <w:r>
        <w:t xml:space="preserve">1. sie die Voraussetzungen des § 2 erfüllt,</w:t>
      </w:r>
    </w:p>
    <w:p>
      <w:pPr>
        <w:ind w:left="420"/>
      </w:pPr>
      <w:r>
        <w:t xml:space="preserve">2. ihre Geschäfte den Regeln des § 3 und den Anlagegrenzen des § 4 entsprechen,</w:t>
      </w:r>
    </w:p>
    <w:p>
      <w:pPr>
        <w:ind w:left="420"/>
      </w:pPr>
      <w:r>
        <w:t xml:space="preserve">3. sie keine Unternehmensbeteiligungen an ihrem Mutterunternehmen oder einem Schwesterunternehmen hält,</w:t>
      </w:r>
    </w:p>
    <w:p>
      <w:pPr>
        <w:ind w:left="420"/>
      </w:pPr>
      <w:r>
        <w:t xml:space="preserve">4. keine Beteiligungen als stiller Gesellschafter an der Gesellschaft bestehen und</w:t>
      </w:r>
    </w:p>
    <w:p>
      <w:pPr>
        <w:ind w:left="420"/>
      </w:pPr>
      <w:r>
        <w:t xml:space="preserve">5. der Antrag nach § 15 Abs. 2 ordnungsgemäß und vollständig gestellt ist.</w:t>
      </w:r>
    </w:p>
    <w:p>
      <w:r>
        <w:t xml:space="preserve">(2) Für die Berechnung der in § 4 Abs. 3 Satz 3, Abs. 4 Satz 2 und Abs. 6 Satz 1 festgelegten Fristen ist für Unternehmensbeteiligungen, die im Zeitpunkt der Anerkennung als Unternehmensbeteiligungsgesellschaft von dieser gehalten werden, der Zeitpunkt dieser Anerkennung maßgeblich.</w:t>
      </w:r>
    </w:p>
    <w:p>
      <w:r>
        <w:t xml:space="preserve">(3) Die Anerkennung verliert ihre Wirkung nur durch Rücknahme, Widerruf oder Verzicht.</w:t>
      </w:r>
    </w:p>
    <w:p>
      <w:r>
        <w:rPr>
          <w:color w:val="555555"/>
          <w:sz w:val="17"/>
        </w:rPr>
        <w:t xml:space="preserve">Zitiervorschlag: § 16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