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UAusschG (Sachsen) — Gegenstand</w:t>
      </w:r>
    </w:p>
    <w:p>
      <w:r>
        <w:rPr>
          <w:color w:val="555555"/>
          <w:sz w:val="18"/>
        </w:rPr>
        <w:t xml:space="preserve">Untersuchungsausschußgesetz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Gegenstand der Untersuchung ist in dem Beschluß über die Einsetzung genau festzulegen.</w:t>
      </w:r>
    </w:p>
    <w:p>
      <w:r>
        <w:t xml:space="preserve">(2) Der in einem Minderheitsantrag bezeichnete Untersuchungsgegenstand kann gegen den Willen der Antragsteller nicht verändert werden.</w:t>
      </w:r>
    </w:p>
    <w:p>
      <w:r>
        <w:t xml:space="preserve">(3) Der Untersuchungsausschuß ist an den ihm erteilten Auftrag gebunden.</w:t>
      </w:r>
    </w:p>
    <w:p>
      <w:r>
        <w:rPr>
          <w:color w:val="555555"/>
          <w:sz w:val="17"/>
        </w:rPr>
        <w:t xml:space="preserve">Zitiervorschlag: § 3 UAusschG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https://recht.nulegal.eu/gesetze/UAusschG/3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