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UAusschG (Sachsen) — Inkrafttreten</w:t>
      </w:r>
    </w:p>
    <w:p>
      <w:r>
        <w:rPr>
          <w:color w:val="555555"/>
          <w:sz w:val="18"/>
        </w:rPr>
        <w:t xml:space="preserve">Untersuchungsausschußgesetz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seiner Verkündung in Kraft.</w:t>
      </w:r>
    </w:p>
    <w:p>
      <w:r>
        <w:t xml:space="preserve">Dresden, den 12. Februar 1991</w:t>
      </w:r>
    </w:p>
    <w:p>
      <w:r>
        <w:t xml:space="preserve">Der Ministerpräsident</w:t>
      </w:r>
    </w:p>
    <w:p>
      <w:r>
        <w:t xml:space="preserve">Prof. Dr. Kurt Biedenkopf</w:t>
      </w:r>
    </w:p>
    <w:p>
      <w:r>
        <w:t xml:space="preserve">Der Staatsminister der Justiz</w:t>
      </w:r>
    </w:p>
    <w:p>
      <w:r>
        <w:t xml:space="preserve">Steffen Heitmann</w:t>
      </w:r>
    </w:p>
    <w:p>
      <w:r>
        <w:rPr>
          <w:color w:val="555555"/>
          <w:sz w:val="17"/>
        </w:rPr>
        <w:t xml:space="preserve">Zitiervorschlag: § 25 UAusschG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https://recht.nulegal.eu/gesetze/UAusschG/25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