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UAusschG (Sachsen) — Bericht</w:t>
      </w:r>
    </w:p>
    <w:p>
      <w:r>
        <w:rPr>
          <w:color w:val="555555"/>
          <w:sz w:val="18"/>
        </w:rPr>
        <w:t xml:space="preserve">Untersuchungsausschußgesetz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Nach Abschluß der Untersuchung erstattet der Untersuchungsausschuß dem Landtag einen schriftlichen Bericht.</w:t>
      </w:r>
    </w:p>
    <w:p>
      <w:r>
        <w:t xml:space="preserve">(2) Jedes Mitglied des Untersuchungsausschusses hat das Recht, abweichende Berichte vorzulegen. Dieser Bericht ist dem Bericht des Untersuchungsausschusses anzuschließen.</w:t>
      </w:r>
    </w:p>
    <w:p>
      <w:r>
        <w:t xml:space="preserve">(3) Der Landtag kann während der Untersuchung von dem Untersuchungsausschuß jederzeit einen Zwischenbericht über den Verlauf des Verfahrens verlangen.</w:t>
      </w:r>
    </w:p>
    <w:p>
      <w:r>
        <w:rPr>
          <w:color w:val="555555"/>
          <w:sz w:val="17"/>
        </w:rPr>
        <w:t xml:space="preserve">Zitiervorschlag: § 23 UAusschG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https://recht.nulegal.eu/gesetze/UAusschG/23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