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UAusschG (Sachsen) — Ordnungsgewalt</w:t>
      </w:r>
    </w:p>
    <w:p>
      <w:r>
        <w:rPr>
          <w:color w:val="555555"/>
          <w:sz w:val="18"/>
        </w:rPr>
        <w:t xml:space="preserve">Untersuchungsausschußgesetz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Aufrechterhaltung der Ordnung in der Sitzung obliegt dem Vorsitzenden.</w:t>
      </w:r>
    </w:p>
    <w:p>
      <w:r>
        <w:t xml:space="preserve">(2) Zeugen, Sachverständige, Betroffene, Beistände und Zuhörer, die den zur Aufrechterhaltung der Ordnung ergangenen Anordnungen nicht Folge leisten oder sich einer Ungebühr schuldig machen, können vom Vorsitzenden aus dem Sitzungssaal entfernt werden.</w:t>
      </w:r>
    </w:p>
    <w:p>
      <w:r>
        <w:rPr>
          <w:color w:val="555555"/>
          <w:sz w:val="17"/>
        </w:rPr>
        <w:t xml:space="preserve">Zitiervorschlag: § 11 UAusschG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https://recht.nulegal.eu/gesetze/UAusschG/11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