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UAGZVV — Rücktritt von der mündlichen Prüfung</w:t>
      </w:r>
    </w:p>
    <w:p>
      <w:r>
        <w:rPr>
          <w:color w:val="555555"/>
          <w:sz w:val="18"/>
        </w:rPr>
        <w:t xml:space="preserve">UAG-Zulassungsverfahrensverordnung</w:t>
      </w:r>
    </w:p>
    <w:p>
      <w:r>
        <w:rPr>
          <w:color w:val="555555"/>
          <w:sz w:val="18"/>
        </w:rPr>
        <w:t xml:space="preserve">Stand: 10.06.2019 (konsolidierte Textfassung, kein amtliches Inkrafttretensdatum)</w:t>
      </w:r>
    </w:p>
    <w:p>
      <w:r>
        <w:t xml:space="preserve">(1) Tritt der Antragsteller nach der Ladung gemäß § 5 Abs. 1 von der mündlichen Prüfung zurück, so gilt die Prüfung als nicht bestanden. Als Rücktritt gilt, wenn der Antragsteller sich der mündlichen Prüfung nicht unterzieht.</w:t>
      </w:r>
    </w:p>
    <w:p>
      <w:r>
        <w:t xml:space="preserve">(2) Als Rücktritt gilt nicht, wenn der Antragsteller sich der mündlichen Prüfung nicht unterzieht und hierfür ein von ihm nicht zu vertretender Grund vorliegt. Der Grund muss der Zulassungsstelle unverzüglich schriftlich oder elektronisch mitgeteilt und nachgewiesen werden. Die Zulassungsstelle entscheidet, ob ein Grund im Sinne des Satzes 1 vorliegt und ob der Nachweis rechtzeitig erbracht ist. Ein Antragsteller, der sich mit Krankheit entschuldigt oder die mündliche Prüfung krankheitsbedingt abbricht, hat unverzüglich ein amtsärztliches Zeugnis vorzulegen.</w:t>
      </w:r>
    </w:p>
    <w:p>
      <w:r>
        <w:t xml:space="preserve">(3) Im Falle des Absatzes 2 ist der Antragsteller zu einem späteren Prüfungstermin zur Ablegung der mündlichen Prüfung erneut zu laden; § 5 Abs. 1 ist anzuwenden.</w:t>
      </w:r>
    </w:p>
    <w:p>
      <w:r>
        <w:rPr>
          <w:color w:val="555555"/>
          <w:sz w:val="17"/>
        </w:rPr>
        <w:t xml:space="preserve">Zitiervorschlag: § 7 UAGZVV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https://recht.nulegal.eu/gesetze/UAGZVV/7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