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UAGZVV — Antrag auf Erteilung einer Fachkenntnisbescheinigung</w:t>
      </w:r>
    </w:p>
    <w:p>
      <w:r>
        <w:rPr>
          <w:color w:val="555555"/>
          <w:sz w:val="18"/>
        </w:rPr>
        <w:t xml:space="preserve">UAG-Zulassungsverfahrensverordnung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Antrag auf Erteilung oder Änderung einer Fachkenntnisbescheinigung findet § 1 mit Ausnahme des Absatzes 1 Nr. 2 und des Absatzes 2 Nr. 7 entsprechend Anwendung. Der Antrag muss ferner die Angabe enthalten, für welche Fachgebiete und Zulassungsbereiche im Sinne des § 8 Abs. 1 Satz 2 des Umweltauditgesetzes die Bescheinigung beantragt wird.</w:t>
      </w:r>
    </w:p>
    <w:p>
      <w:r>
        <w:rPr>
          <w:color w:val="555555"/>
          <w:sz w:val="17"/>
        </w:rPr>
        <w:t xml:space="preserve">Zitiervorschlag: § 3 UAGZVV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https://recht.nulegal.eu/gesetze/UAGZVV/3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